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Default Extension="fntdata" ContentType="application/x-fontdata"/>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9865"/>
      </w:tblGrid>
      <w:tr>
        <w:tc>
          <w:tcPr>
            <w:tcW w:type="dxa" w:w="9865"/>
            <w:shd w:val="clear" w:color="auto" w:fill="35394F"/>
            <w:tcMar>
              <w:top w:w="240" w:type="dxa"/>
              <w:left w:w="0" w:type="dxa"/>
              <w:bottom w:w="240" w:type="dxa"/>
              <w:right w:w="0" w:type="dxa"/>
            </w:tcMar>
          </w:tcPr>
          <w:p>
            <w:pPr>
              <w:spacing w:before="0" w:after="0" w:line="240" w:lineRule="auto"/>
              <w:ind w:left="260" w:right="260"/>
              <w:jc w:val="right"/>
            </w:pPr>
            <w:hyperlink r:id="rId10">
              <w:r>
                <w:drawing>
                  <wp:inline xmlns:a="http://schemas.openxmlformats.org/drawingml/2006/main" xmlns:pic="http://schemas.openxmlformats.org/drawingml/2006/picture">
                    <wp:extent cx="720000" cy="391800"/>
                    <wp:docPr id="1" name="Picture 1" descr="ETHYX — ethyx.eu" title="ETHYX — ethyx.eu"/>
                    <wp:cNvGraphicFramePr>
                      <a:graphicFrameLocks noChangeAspect="1"/>
                    </wp:cNvGraphicFramePr>
                    <a:graphic>
                      <a:graphicData uri="http://schemas.openxmlformats.org/drawingml/2006/picture">
                        <pic:pic>
                          <pic:nvPicPr>
                            <pic:cNvPr id="0" name="logo-lockup.png"/>
                            <pic:cNvPicPr/>
                          </pic:nvPicPr>
                          <pic:blipFill>
                            <a:blip r:embed="rId9"/>
                            <a:stretch>
                              <a:fillRect/>
                            </a:stretch>
                          </pic:blipFill>
                          <pic:spPr>
                            <a:xfrm>
                              <a:off x="0" y="0"/>
                              <a:ext cx="720000" cy="391800"/>
                            </a:xfrm>
                            <a:prstGeom prst="rect"/>
                          </pic:spPr>
                        </pic:pic>
                      </a:graphicData>
                    </a:graphic>
                  </wp:inline>
                </w:drawing>
              </w:r>
            </w:hyperlink>
          </w:p>
          <w:p>
            <w:pPr>
              <w:spacing w:before="0" w:after="0" w:line="240" w:lineRule="exact"/>
              <w:ind w:left="260" w:right="260"/>
            </w:pPr>
          </w:p>
          <w:p>
            <w:pPr>
              <w:spacing w:before="0" w:after="0" w:line="252" w:lineRule="auto"/>
              <w:ind w:left="260" w:right="260"/>
            </w:pPr>
            <w:r>
              <w:rPr>
                <w:rFonts w:ascii="Funnel Display" w:hAnsi="Funnel Display" w:cs="Funnel Display" w:eastAsia="Funnel Display"/>
                <w:b/>
                <w:i w:val="0"/>
                <w:color w:val="FFFFFF"/>
                <w:sz w:val="44"/>
              </w:rPr>
              <w:t>Datenschutzerklärung – Vorlage</w:t>
            </w:r>
          </w:p>
          <w:p>
            <w:pPr>
              <w:spacing w:before="100" w:after="0" w:line="276" w:lineRule="auto"/>
              <w:ind w:left="260" w:right="260"/>
            </w:pPr>
            <w:r>
              <w:rPr>
                <w:rFonts w:ascii="Inter" w:hAnsi="Inter" w:cs="Inter" w:eastAsia="Inter"/>
                <w:b w:val="0"/>
                <w:i w:val="0"/>
                <w:color w:val="FFFFFF"/>
                <w:sz w:val="21"/>
              </w:rPr>
              <w:t>DSGVO-konforme Vorlage (Art. 13–14 DSGVO) für KMU-Websites · DE</w:t>
            </w:r>
          </w:p>
          <w:p>
            <w:pPr>
              <w:spacing w:before="140" w:after="0" w:line="288" w:lineRule="auto"/>
              <w:ind w:left="260" w:right="260"/>
            </w:pPr>
            <w:r>
              <w:rPr>
                <w:rFonts w:ascii="Inter" w:hAnsi="Inter" w:cs="Inter" w:eastAsia="Inter"/>
                <w:b w:val="0"/>
                <w:i w:val="0"/>
                <w:color w:val="E5E7EB"/>
                <w:sz w:val="15"/>
              </w:rPr>
              <w:t>Rechtlich geprüft von einem zertifizierten Datenschutzbeauftragten (CIPP/E) · Bereitgestellt von ETHYX · Version 1.1 · Juli 2026</w:t>
            </w:r>
          </w:p>
        </w:tc>
      </w:tr>
    </w:tbl>
    <w:p>
      <w:pPr>
        <w:shd w:val="clear" w:color="auto" w:fill="E34663"/>
        <w:spacing w:before="0" w:after="200" w:line="60" w:lineRule="exact"/>
      </w:pPr>
    </w:p>
    <w:p>
      <w:pPr>
        <w:spacing w:before="0" w:after="0" w:line="120" w:lineRule="exact"/>
      </w:pP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45"/>
        <w:gridCol w:w="9819"/>
      </w:tblGrid>
      <w:tr>
        <w:trPr>
          <w:cantSplit w:val="1"/>
        </w:trPr>
        <w:tc>
          <w:tcPr>
            <w:tcW w:type="dxa" w:w="45"/>
            <w:shd w:val="clear" w:color="auto" w:fill="E34663"/>
            <w:tcMar>
              <w:top w:w="130" w:type="dxa"/>
              <w:left w:w="0" w:type="dxa"/>
              <w:bottom w:w="130" w:type="dxa"/>
              <w:right w:w="0" w:type="dxa"/>
            </w:tcMar>
          </w:tcPr>
          <w:p/>
        </w:tc>
        <w:tc>
          <w:tcPr>
            <w:tcW w:type="dxa" w:w="9819"/>
            <w:shd w:val="clear" w:color="auto" w:fill="FEF6F7"/>
            <w:tcMar>
              <w:top w:w="130" w:type="dxa"/>
              <w:left w:w="0" w:type="dxa"/>
              <w:bottom w:w="130" w:type="dxa"/>
              <w:right w:w="0" w:type="dxa"/>
            </w:tcMar>
          </w:tcPr>
          <w:p>
            <w:pPr>
              <w:spacing w:before="0" w:after="0" w:line="312" w:lineRule="auto"/>
              <w:ind w:left="215" w:right="260"/>
            </w:pPr>
            <w:r>
              <w:rPr>
                <w:rFonts w:ascii="Funnel Display" w:hAnsi="Funnel Display" w:cs="Funnel Display" w:eastAsia="Funnel Display"/>
                <w:b/>
                <w:i w:val="0"/>
                <w:color w:val="E34663"/>
                <w:spacing w:val="8"/>
                <w:sz w:val="16"/>
              </w:rPr>
              <w:t xml:space="preserve">▸ HINWEIS ZUR VERWENDUNG  </w:t>
            </w:r>
            <w:r>
              <w:rPr>
                <w:rFonts w:ascii="Inter" w:hAnsi="Inter" w:cs="Inter" w:eastAsia="Inter"/>
                <w:b w:val="0"/>
                <w:i w:val="0"/>
                <w:color w:val="35394F"/>
                <w:sz w:val="16"/>
              </w:rPr>
              <w:t>Dies ist eine modulare Vorlage. Die KERN-Abschnitte gelten für nahezu jedes Unternehmen – behalten Sie sie. Jedes OPTIONALE MODUL ist mit einem blauen Kasten markiert; behalten Sie nur die für Sie zutreffenden Module und löschen Sie die übrigen. Ersetzen Sie jeden [orangefarbenen Platzhalter] durch Ihre eigenen Angaben und löschen Sie anschließend diesen sowie alle weiteren Hinweis-Kästen vor der Veröffentlichung. Eine einfache Website ergibt etwa 4 Seiten, eine komplexe etwa 9. Diese Vorlage ersetzt keine Rechtsprüfung – lassen Sie Ihre finale Erklärung von einem qualifizierten Datenschutzbeauftragten prüfen.</w:t>
            </w:r>
          </w:p>
        </w:tc>
      </w:tr>
    </w:tbl>
    <w:p>
      <w:pPr>
        <w:spacing w:before="0" w:after="0" w:line="120" w:lineRule="exact"/>
      </w:pPr>
    </w:p>
    <w:p>
      <w:pPr>
        <w:keepNext w:val="1"/>
        <w:keepLines w:val="1"/>
        <w:spacing w:before="180" w:after="60" w:line="276" w:lineRule="auto"/>
        <w:ind w:left="260" w:right="260"/>
      </w:pPr>
      <w:r>
        <w:rPr>
          <w:rFonts w:ascii="Funnel Display" w:hAnsi="Funnel Display" w:cs="Funnel Display" w:eastAsia="Funnel Display"/>
          <w:b/>
          <w:i w:val="0"/>
          <w:color w:val="35394F"/>
          <w:sz w:val="21"/>
        </w:rPr>
        <w:t>Vor der Veröffentlichung – Kurz-Checkliste</w:t>
      </w:r>
    </w:p>
    <w:p>
      <w:pPr>
        <w:spacing w:before="0" w:after="60" w:line="324" w:lineRule="auto"/>
        <w:ind w:left="543" w:hanging="283" w:right="260"/>
      </w:pPr>
      <w:r>
        <w:rPr>
          <w:rFonts w:ascii="Inter" w:hAnsi="Inter" w:cs="Inter" w:eastAsia="Inter"/>
          <w:b/>
          <w:i w:val="0"/>
          <w:color w:val="E34663"/>
          <w:sz w:val="20"/>
        </w:rPr>
        <w:t>•</w:t>
        <w:tab/>
      </w:r>
      <w:r>
        <w:rPr>
          <w:rFonts w:ascii="Inter" w:hAnsi="Inter" w:cs="Inter" w:eastAsia="Inter"/>
          <w:b w:val="0"/>
          <w:i w:val="0"/>
          <w:color w:val="35394F"/>
          <w:sz w:val="20"/>
        </w:rPr>
        <w:t xml:space="preserve">Jeden </w:t>
      </w:r>
      <w:r>
        <w:rPr>
          <w:rFonts w:ascii="Inter" w:hAnsi="Inter" w:cs="Inter" w:eastAsia="Inter"/>
          <w:b/>
          <w:i w:val="0"/>
          <w:color w:val="E34663"/>
          <w:sz w:val="20"/>
        </w:rPr>
        <w:t>[Platzhalter]</w:t>
      </w:r>
      <w:r>
        <w:rPr>
          <w:rFonts w:ascii="Inter" w:hAnsi="Inter" w:cs="Inter" w:eastAsia="Inter"/>
          <w:b w:val="0"/>
          <w:i w:val="0"/>
          <w:color w:val="35394F"/>
          <w:sz w:val="20"/>
        </w:rPr>
        <w:t xml:space="preserve"> durch Ihre echten Angaben ersetzt (Firma, Anschrift, E-Mail, Aufsichtsbehörde).</w:t>
      </w:r>
    </w:p>
    <w:p>
      <w:pPr>
        <w:spacing w:before="0" w:after="60" w:line="324" w:lineRule="auto"/>
        <w:ind w:left="543" w:hanging="283" w:right="260"/>
      </w:pPr>
      <w:r>
        <w:rPr>
          <w:rFonts w:ascii="Inter" w:hAnsi="Inter" w:cs="Inter" w:eastAsia="Inter"/>
          <w:b/>
          <w:i w:val="0"/>
          <w:color w:val="E34663"/>
          <w:sz w:val="20"/>
        </w:rPr>
        <w:t>•</w:t>
        <w:tab/>
      </w:r>
      <w:r>
        <w:rPr>
          <w:rFonts w:ascii="Inter" w:hAnsi="Inter" w:cs="Inter" w:eastAsia="Inter"/>
          <w:b w:val="0"/>
          <w:i w:val="0"/>
          <w:color w:val="35394F"/>
          <w:sz w:val="20"/>
        </w:rPr>
        <w:t>Nur die optionalen Module behalten, die zu Ihren tatsächlich genutzten Tools und Prozessen passen.</w:t>
      </w:r>
    </w:p>
    <w:p>
      <w:pPr>
        <w:spacing w:before="0" w:after="60" w:line="324" w:lineRule="auto"/>
        <w:ind w:left="543" w:hanging="283" w:right="260"/>
      </w:pPr>
      <w:r>
        <w:rPr>
          <w:rFonts w:ascii="Inter" w:hAnsi="Inter" w:cs="Inter" w:eastAsia="Inter"/>
          <w:b/>
          <w:i w:val="0"/>
          <w:color w:val="E34663"/>
          <w:sz w:val="20"/>
        </w:rPr>
        <w:t>•</w:t>
        <w:tab/>
      </w:r>
      <w:r>
        <w:rPr>
          <w:rFonts w:ascii="Inter" w:hAnsi="Inter" w:cs="Inter" w:eastAsia="Inter"/>
          <w:b w:val="0"/>
          <w:i w:val="0"/>
          <w:color w:val="35394F"/>
          <w:sz w:val="20"/>
        </w:rPr>
        <w:t>Ihre echten Auftragsverarbeiter aufgeführt (Hosting, E-Mail, Analyse, Newsletter, CRM usw.).</w:t>
      </w:r>
    </w:p>
    <w:p>
      <w:pPr>
        <w:spacing w:before="0" w:after="60" w:line="324" w:lineRule="auto"/>
        <w:ind w:left="543" w:hanging="283" w:right="260"/>
      </w:pPr>
      <w:r>
        <w:rPr>
          <w:rFonts w:ascii="Inter" w:hAnsi="Inter" w:cs="Inter" w:eastAsia="Inter"/>
          <w:b/>
          <w:i w:val="0"/>
          <w:color w:val="E34663"/>
          <w:sz w:val="20"/>
        </w:rPr>
        <w:t>•</w:t>
        <w:tab/>
      </w:r>
      <w:r>
        <w:rPr>
          <w:rFonts w:ascii="Inter" w:hAnsi="Inter" w:cs="Inter" w:eastAsia="Inter"/>
          <w:b w:val="0"/>
          <w:i w:val="0"/>
          <w:color w:val="35394F"/>
          <w:sz w:val="20"/>
        </w:rPr>
        <w:t>Die zuständige Aufsichtsbehörde Ihres Bundeslandes korrekt benannt.</w:t>
      </w:r>
    </w:p>
    <w:p>
      <w:pPr>
        <w:spacing w:before="0" w:after="60" w:line="324" w:lineRule="auto"/>
        <w:ind w:left="543" w:hanging="283" w:right="260"/>
      </w:pPr>
      <w:r>
        <w:rPr>
          <w:rFonts w:ascii="Inter" w:hAnsi="Inter" w:cs="Inter" w:eastAsia="Inter"/>
          <w:b/>
          <w:i w:val="0"/>
          <w:color w:val="E34663"/>
          <w:sz w:val="20"/>
        </w:rPr>
        <w:t>•</w:t>
        <w:tab/>
      </w:r>
      <w:r>
        <w:rPr>
          <w:rFonts w:ascii="Inter" w:hAnsi="Inter" w:cs="Inter" w:eastAsia="Inter"/>
          <w:b w:val="0"/>
          <w:i w:val="0"/>
          <w:color w:val="35394F"/>
          <w:sz w:val="20"/>
        </w:rPr>
        <w:t>Alle Hinweis-Kästen und die Modul-Markierungen selbst gelöscht.</w:t>
      </w:r>
    </w:p>
    <w:p>
      <w:pPr>
        <w:spacing w:before="0" w:after="60" w:line="324" w:lineRule="auto"/>
        <w:ind w:left="543" w:hanging="283" w:right="260"/>
      </w:pPr>
      <w:r>
        <w:rPr>
          <w:rFonts w:ascii="Inter" w:hAnsi="Inter" w:cs="Inter" w:eastAsia="Inter"/>
          <w:b/>
          <w:i w:val="0"/>
          <w:color w:val="E34663"/>
          <w:sz w:val="20"/>
        </w:rPr>
        <w:t>•</w:t>
        <w:tab/>
      </w:r>
      <w:r>
        <w:rPr>
          <w:rFonts w:ascii="Inter" w:hAnsi="Inter" w:cs="Inter" w:eastAsia="Inter"/>
          <w:b w:val="0"/>
          <w:i w:val="0"/>
          <w:color w:val="35394F"/>
          <w:sz w:val="20"/>
        </w:rPr>
        <w:t>Die finale Version von einem DSB oder qualifizierten Anwalt prüfen lassen.</w:t>
      </w: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Datenschutzerklärung</w:t>
      </w:r>
    </w:p>
    <w:p>
      <w:pPr>
        <w:spacing w:before="0" w:after="120" w:line="324" w:lineRule="auto"/>
        <w:ind w:left="260" w:right="260"/>
      </w:pPr>
      <w:r>
        <w:rPr>
          <w:rFonts w:ascii="Inter" w:hAnsi="Inter" w:cs="Inter" w:eastAsia="Inter"/>
          <w:b w:val="0"/>
          <w:i w:val="0"/>
          <w:color w:val="35394F"/>
          <w:sz w:val="20"/>
        </w:rPr>
        <w:t xml:space="preserve">Stand: </w:t>
      </w:r>
      <w:r>
        <w:rPr>
          <w:rFonts w:ascii="Inter" w:hAnsi="Inter" w:cs="Inter" w:eastAsia="Inter"/>
          <w:b/>
          <w:i w:val="0"/>
          <w:color w:val="E34663"/>
          <w:sz w:val="20"/>
        </w:rPr>
        <w:t>[Monat Jahr]</w:t>
      </w:r>
    </w:p>
    <w:p>
      <w:pPr>
        <w:spacing w:before="0" w:after="120" w:line="324" w:lineRule="auto"/>
        <w:ind w:left="260" w:right="260"/>
      </w:pPr>
      <w:r>
        <w:rPr>
          <w:rFonts w:ascii="Inter" w:hAnsi="Inter" w:cs="Inter" w:eastAsia="Inter"/>
          <w:b w:val="0"/>
          <w:i w:val="0"/>
          <w:color w:val="35394F"/>
          <w:sz w:val="20"/>
        </w:rPr>
        <w:t xml:space="preserve">Diese Datenschutzerklärung informiert Sie darüber, wie </w:t>
      </w:r>
      <w:r>
        <w:rPr>
          <w:rFonts w:ascii="Inter" w:hAnsi="Inter" w:cs="Inter" w:eastAsia="Inter"/>
          <w:b/>
          <w:i w:val="0"/>
          <w:color w:val="E34663"/>
          <w:sz w:val="20"/>
        </w:rPr>
        <w:t>[FIRMENNAME]</w:t>
      </w:r>
      <w:r>
        <w:rPr>
          <w:rFonts w:ascii="Inter" w:hAnsi="Inter" w:cs="Inter" w:eastAsia="Inter"/>
          <w:b w:val="0"/>
          <w:i w:val="0"/>
          <w:color w:val="35394F"/>
          <w:sz w:val="20"/>
        </w:rPr>
        <w:t xml:space="preserve"> („wir“) personenbezogene Daten erhebt, verwendet und schützt, wenn Sie unsere Website </w:t>
      </w:r>
      <w:r>
        <w:rPr>
          <w:rFonts w:ascii="Inter" w:hAnsi="Inter" w:cs="Inter" w:eastAsia="Inter"/>
          <w:b/>
          <w:i w:val="0"/>
          <w:color w:val="E34663"/>
          <w:sz w:val="20"/>
        </w:rPr>
        <w:t>[www.beispiel.de]</w:t>
      </w:r>
      <w:r>
        <w:rPr>
          <w:rFonts w:ascii="Inter" w:hAnsi="Inter" w:cs="Inter" w:eastAsia="Inter"/>
          <w:b w:val="0"/>
          <w:i w:val="0"/>
          <w:color w:val="35394F"/>
          <w:sz w:val="20"/>
        </w:rPr>
        <w:t xml:space="preserve"> besuchen oder anderweitig mit uns in Kontakt treten. Wir verarbeiten personenbezogene Daten im Einklang mit der Datenschutz-Grundverordnung (DSGVO), dem Bundesdatenschutzgesetz (BDSG) und weiteren anwendbaren Vorschriften.</w:t>
      </w: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1. Verantwortlicher</w:t>
      </w:r>
    </w:p>
    <w:p>
      <w:pPr>
        <w:spacing w:before="0" w:after="120" w:line="324" w:lineRule="auto"/>
        <w:ind w:left="260" w:right="260"/>
      </w:pPr>
      <w:r>
        <w:rPr>
          <w:rFonts w:ascii="Inter" w:hAnsi="Inter" w:cs="Inter" w:eastAsia="Inter"/>
          <w:b w:val="0"/>
          <w:i w:val="0"/>
          <w:color w:val="35394F"/>
          <w:sz w:val="20"/>
        </w:rPr>
        <w:t>Verantwortlich für die Datenverarbeitung auf dieser Website ist:</w:t>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9865"/>
      </w:tblGrid>
      <w:tr>
        <w:trPr>
          <w:cantSplit w:val="1"/>
        </w:trPr>
        <w:tc>
          <w:tcPr>
            <w:tcW w:type="dxa" w:w="9865"/>
            <w:shd w:val="clear" w:color="auto" w:fill="F9FAFB"/>
            <w:tcMar>
              <w:top w:w="130" w:type="dxa"/>
              <w:left w:w="0" w:type="dxa"/>
              <w:bottom w:w="130" w:type="dxa"/>
              <w:right w:w="0" w:type="dxa"/>
            </w:tcMar>
          </w:tcPr>
          <w:p>
            <w:pPr>
              <w:spacing w:before="0" w:after="0" w:line="312" w:lineRule="auto"/>
              <w:ind w:left="260" w:right="260"/>
            </w:pPr>
            <w:r>
              <w:rPr>
                <w:rFonts w:ascii="Inter" w:hAnsi="Inter" w:cs="Inter" w:eastAsia="Inter"/>
                <w:b/>
                <w:i w:val="0"/>
                <w:color w:val="E34663"/>
                <w:sz w:val="20"/>
              </w:rPr>
              <w:t>[FIRMENNAME]</w:t>
            </w:r>
          </w:p>
          <w:p>
            <w:pPr>
              <w:spacing w:before="0" w:after="0" w:line="312" w:lineRule="auto"/>
              <w:ind w:left="260" w:right="260"/>
            </w:pPr>
            <w:r>
              <w:rPr>
                <w:rFonts w:ascii="Inter" w:hAnsi="Inter" w:cs="Inter" w:eastAsia="Inter"/>
                <w:b/>
                <w:i w:val="0"/>
                <w:color w:val="E34663"/>
                <w:sz w:val="20"/>
              </w:rPr>
              <w:t>[Rechtsform, z. B. GmbH]</w:t>
            </w:r>
          </w:p>
          <w:p>
            <w:pPr>
              <w:spacing w:before="0" w:after="0" w:line="312" w:lineRule="auto"/>
              <w:ind w:left="260" w:right="260"/>
            </w:pPr>
            <w:r>
              <w:rPr>
                <w:rFonts w:ascii="Inter" w:hAnsi="Inter" w:cs="Inter" w:eastAsia="Inter"/>
                <w:b/>
                <w:i w:val="0"/>
                <w:color w:val="E34663"/>
                <w:sz w:val="20"/>
              </w:rPr>
              <w:t>[Straße und Hausnummer]</w:t>
            </w:r>
          </w:p>
          <w:p>
            <w:pPr>
              <w:spacing w:before="0" w:after="0" w:line="312" w:lineRule="auto"/>
              <w:ind w:left="260" w:right="260"/>
            </w:pPr>
            <w:r>
              <w:rPr>
                <w:rFonts w:ascii="Inter" w:hAnsi="Inter" w:cs="Inter" w:eastAsia="Inter"/>
                <w:b/>
                <w:i w:val="0"/>
                <w:color w:val="E34663"/>
                <w:sz w:val="20"/>
              </w:rPr>
              <w:t>[PLZ, Ort]</w:t>
            </w:r>
          </w:p>
          <w:p>
            <w:pPr>
              <w:spacing w:before="0" w:after="0" w:line="312" w:lineRule="auto"/>
              <w:ind w:left="260" w:right="260"/>
            </w:pPr>
            <w:r>
              <w:rPr>
                <w:rFonts w:ascii="Inter" w:hAnsi="Inter" w:cs="Inter" w:eastAsia="Inter"/>
                <w:b/>
                <w:i w:val="0"/>
                <w:color w:val="E34663"/>
                <w:sz w:val="20"/>
              </w:rPr>
              <w:t>[Land]</w:t>
            </w:r>
          </w:p>
          <w:p>
            <w:pPr>
              <w:spacing w:before="0" w:after="0" w:line="312" w:lineRule="auto"/>
              <w:ind w:left="260" w:right="260"/>
            </w:pPr>
            <w:r>
              <w:rPr>
                <w:rFonts w:ascii="Inter" w:hAnsi="Inter" w:cs="Inter" w:eastAsia="Inter"/>
                <w:b/>
                <w:i w:val="0"/>
                <w:color w:val="E34663"/>
                <w:sz w:val="20"/>
              </w:rPr>
              <w:t>E-Mail: [kontakt@beispiel.de]</w:t>
            </w:r>
          </w:p>
          <w:p>
            <w:pPr>
              <w:spacing w:before="0" w:after="0" w:line="312" w:lineRule="auto"/>
              <w:ind w:left="260" w:right="260"/>
            </w:pPr>
            <w:r>
              <w:rPr>
                <w:rFonts w:ascii="Inter" w:hAnsi="Inter" w:cs="Inter" w:eastAsia="Inter"/>
                <w:b/>
                <w:i w:val="0"/>
                <w:color w:val="E34663"/>
                <w:sz w:val="20"/>
              </w:rPr>
              <w:t>Telefon: [+49 …]</w:t>
            </w:r>
          </w:p>
          <w:p>
            <w:pPr>
              <w:spacing w:before="0" w:after="0" w:line="312" w:lineRule="auto"/>
              <w:ind w:left="260" w:right="260"/>
            </w:pPr>
            <w:r>
              <w:rPr>
                <w:rFonts w:ascii="Inter" w:hAnsi="Inter" w:cs="Inter" w:eastAsia="Inter"/>
                <w:b/>
                <w:i w:val="0"/>
                <w:color w:val="E34663"/>
                <w:sz w:val="20"/>
              </w:rPr>
              <w:t>Vertreten durch: [Name des Geschäftsführers]</w:t>
            </w:r>
          </w:p>
        </w:tc>
      </w:tr>
    </w:tbl>
    <w:p>
      <w:pPr>
        <w:spacing w:before="0" w:after="0" w:line="120" w:lineRule="exact"/>
      </w:pP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45"/>
        <w:gridCol w:w="9819"/>
      </w:tblGrid>
      <w:tr>
        <w:trPr>
          <w:cantSplit w:val="1"/>
        </w:trPr>
        <w:tc>
          <w:tcPr>
            <w:tcW w:type="dxa" w:w="45"/>
            <w:shd w:val="clear" w:color="auto" w:fill="E34663"/>
            <w:tcMar>
              <w:top w:w="130" w:type="dxa"/>
              <w:left w:w="0" w:type="dxa"/>
              <w:bottom w:w="130" w:type="dxa"/>
              <w:right w:w="0" w:type="dxa"/>
            </w:tcMar>
          </w:tcPr>
          <w:p/>
        </w:tc>
        <w:tc>
          <w:tcPr>
            <w:tcW w:type="dxa" w:w="9819"/>
            <w:shd w:val="clear" w:color="auto" w:fill="FEF6F7"/>
            <w:tcMar>
              <w:top w:w="130" w:type="dxa"/>
              <w:left w:w="0" w:type="dxa"/>
              <w:bottom w:w="130" w:type="dxa"/>
              <w:right w:w="0" w:type="dxa"/>
            </w:tcMar>
          </w:tcPr>
          <w:p>
            <w:pPr>
              <w:spacing w:before="0" w:after="0" w:line="312" w:lineRule="auto"/>
              <w:ind w:left="215" w:right="260"/>
            </w:pPr>
            <w:r>
              <w:rPr>
                <w:rFonts w:ascii="Funnel Display" w:hAnsi="Funnel Display" w:cs="Funnel Display" w:eastAsia="Funnel Display"/>
                <w:b/>
                <w:i w:val="0"/>
                <w:color w:val="E34663"/>
                <w:spacing w:val="8"/>
                <w:sz w:val="16"/>
              </w:rPr>
              <w:t xml:space="preserve">▸ HINWEIS ZUR VERWENDUNG  </w:t>
            </w:r>
            <w:r>
              <w:rPr>
                <w:rFonts w:ascii="Inter" w:hAnsi="Inter" w:cs="Inter" w:eastAsia="Inter"/>
                <w:b w:val="0"/>
                <w:i w:val="0"/>
                <w:color w:val="35394F"/>
                <w:sz w:val="16"/>
              </w:rPr>
              <w:t>Dies ist die gesetzlich vorgeschriebene Angabe des Verantwortlichen (Art. 13 Abs. 1 lit. a DSGVO). Verwenden Sie die vollständige juristische Person, nicht nur einen Markennamen. Nennen Sie den Geschäftsführer.</w:t>
            </w:r>
          </w:p>
        </w:tc>
      </w:tr>
    </w:tbl>
    <w:p>
      <w:pPr>
        <w:spacing w:before="0" w:after="0" w:line="120" w:lineRule="exact"/>
      </w:pP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2. Datenschutzbeauftragter</w:t>
      </w:r>
    </w:p>
    <w:p>
      <w:pPr>
        <w:spacing w:before="0" w:after="120" w:line="324" w:lineRule="auto"/>
        <w:ind w:left="260" w:right="260"/>
      </w:pPr>
      <w:r>
        <w:rPr>
          <w:rFonts w:ascii="Inter" w:hAnsi="Inter" w:cs="Inter" w:eastAsia="Inter"/>
          <w:b w:val="0"/>
          <w:i w:val="0"/>
          <w:color w:val="35394F"/>
          <w:sz w:val="20"/>
        </w:rPr>
        <w:t>Unseren Datenschutzbeauftragten erreichen Sie unter:</w:t>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9865"/>
      </w:tblGrid>
      <w:tr>
        <w:trPr>
          <w:cantSplit w:val="1"/>
        </w:trPr>
        <w:tc>
          <w:tcPr>
            <w:tcW w:type="dxa" w:w="9865"/>
            <w:shd w:val="clear" w:color="auto" w:fill="F9FAFB"/>
            <w:tcMar>
              <w:top w:w="130" w:type="dxa"/>
              <w:left w:w="0" w:type="dxa"/>
              <w:bottom w:w="130" w:type="dxa"/>
              <w:right w:w="0" w:type="dxa"/>
            </w:tcMar>
          </w:tcPr>
          <w:p>
            <w:pPr>
              <w:spacing w:before="0" w:after="0" w:line="312" w:lineRule="auto"/>
              <w:ind w:left="260" w:right="260"/>
            </w:pPr>
            <w:r>
              <w:rPr>
                <w:rFonts w:ascii="Inter" w:hAnsi="Inter" w:cs="Inter" w:eastAsia="Inter"/>
                <w:b/>
                <w:i w:val="0"/>
                <w:color w:val="E34663"/>
                <w:sz w:val="20"/>
              </w:rPr>
              <w:t>[Name oder Unternehmen des DSB]</w:t>
            </w:r>
          </w:p>
          <w:p>
            <w:pPr>
              <w:spacing w:before="0" w:after="0" w:line="312" w:lineRule="auto"/>
              <w:ind w:left="260" w:right="260"/>
            </w:pPr>
            <w:r>
              <w:rPr>
                <w:rFonts w:ascii="Inter" w:hAnsi="Inter" w:cs="Inter" w:eastAsia="Inter"/>
                <w:b/>
                <w:i w:val="0"/>
                <w:color w:val="E34663"/>
                <w:sz w:val="20"/>
              </w:rPr>
              <w:t>[Anschrift, falls abweichend]</w:t>
            </w:r>
          </w:p>
          <w:p>
            <w:pPr>
              <w:spacing w:before="0" w:after="0" w:line="312" w:lineRule="auto"/>
              <w:ind w:left="260" w:right="260"/>
            </w:pPr>
            <w:r>
              <w:rPr>
                <w:rFonts w:ascii="Inter" w:hAnsi="Inter" w:cs="Inter" w:eastAsia="Inter"/>
                <w:b/>
                <w:i w:val="0"/>
                <w:color w:val="E34663"/>
                <w:sz w:val="20"/>
              </w:rPr>
              <w:t>E-Mail: [dsb@beispiel.de]</w:t>
            </w:r>
          </w:p>
        </w:tc>
      </w:tr>
    </w:tbl>
    <w:p>
      <w:pPr>
        <w:spacing w:before="0" w:after="0" w:line="120" w:lineRule="exact"/>
      </w:pP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45"/>
        <w:gridCol w:w="9819"/>
      </w:tblGrid>
      <w:tr>
        <w:trPr>
          <w:cantSplit w:val="1"/>
        </w:trPr>
        <w:tc>
          <w:tcPr>
            <w:tcW w:type="dxa" w:w="45"/>
            <w:shd w:val="clear" w:color="auto" w:fill="E34663"/>
            <w:tcMar>
              <w:top w:w="130" w:type="dxa"/>
              <w:left w:w="0" w:type="dxa"/>
              <w:bottom w:w="130" w:type="dxa"/>
              <w:right w:w="0" w:type="dxa"/>
            </w:tcMar>
          </w:tcPr>
          <w:p/>
        </w:tc>
        <w:tc>
          <w:tcPr>
            <w:tcW w:type="dxa" w:w="9819"/>
            <w:shd w:val="clear" w:color="auto" w:fill="FEF6F7"/>
            <w:tcMar>
              <w:top w:w="130" w:type="dxa"/>
              <w:left w:w="0" w:type="dxa"/>
              <w:bottom w:w="130" w:type="dxa"/>
              <w:right w:w="0" w:type="dxa"/>
            </w:tcMar>
          </w:tcPr>
          <w:p>
            <w:pPr>
              <w:spacing w:before="0" w:after="0" w:line="312" w:lineRule="auto"/>
              <w:ind w:left="215" w:right="260"/>
            </w:pPr>
            <w:r>
              <w:rPr>
                <w:rFonts w:ascii="Funnel Display" w:hAnsi="Funnel Display" w:cs="Funnel Display" w:eastAsia="Funnel Display"/>
                <w:b/>
                <w:i w:val="0"/>
                <w:color w:val="E34663"/>
                <w:spacing w:val="8"/>
                <w:sz w:val="16"/>
              </w:rPr>
              <w:t xml:space="preserve">▸ HINWEIS ZUR VERWENDUNG  </w:t>
            </w:r>
            <w:r>
              <w:rPr>
                <w:rFonts w:ascii="Inter" w:hAnsi="Inter" w:cs="Inter" w:eastAsia="Inter"/>
                <w:b w:val="0"/>
                <w:i w:val="0"/>
                <w:color w:val="35394F"/>
                <w:sz w:val="16"/>
              </w:rPr>
              <w:t>Ein DSB ist nach Art. 37 DSGVO und § 38 BDSG verpflichtend, u. a. wenn in der Regel mindestens 20 Personen ständig mit automatisierter Verarbeitung beschäftigt sind oder die Kerntätigkeit umfangreiche bzw. besondere Verarbeitungen umfasst. Falls Sie keinen DSB bestellt haben und nicht dazu verpflichtet sind, löschen Sie diesen Abschnitt vollständig. Falls ETHYX Ihren externen DSB stellt, nennen Sie ihn hier.</w:t>
            </w:r>
          </w:p>
        </w:tc>
      </w:tr>
    </w:tbl>
    <w:p>
      <w:pPr>
        <w:spacing w:before="0" w:after="0" w:line="120" w:lineRule="exact"/>
      </w:pP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3. Ihre Rechte als betroffene Person</w:t>
      </w:r>
    </w:p>
    <w:p>
      <w:pPr>
        <w:spacing w:before="0" w:after="120" w:line="324" w:lineRule="auto"/>
        <w:ind w:left="260" w:right="260"/>
      </w:pPr>
      <w:r>
        <w:rPr>
          <w:rFonts w:ascii="Inter" w:hAnsi="Inter" w:cs="Inter" w:eastAsia="Inter"/>
          <w:b w:val="0"/>
          <w:i w:val="0"/>
          <w:color w:val="35394F"/>
          <w:sz w:val="20"/>
        </w:rPr>
        <w:t xml:space="preserve">Nach der DSGVO stehen Ihnen folgende Rechte bezüglich Ihrer personenbezogenen Daten zu. Zur Ausübung wenden Sie sich an </w:t>
      </w:r>
      <w:r>
        <w:rPr>
          <w:rFonts w:ascii="Inter" w:hAnsi="Inter" w:cs="Inter" w:eastAsia="Inter"/>
          <w:b/>
          <w:i w:val="0"/>
          <w:color w:val="E34663"/>
          <w:sz w:val="20"/>
        </w:rPr>
        <w:t>[kontakt@beispiel.de]</w:t>
      </w:r>
      <w:r>
        <w:rPr>
          <w:rFonts w:ascii="Inter" w:hAnsi="Inter" w:cs="Inter" w:eastAsia="Inter"/>
          <w:b w:val="0"/>
          <w:i w:val="0"/>
          <w:color w:val="35394F"/>
          <w:sz w:val="20"/>
        </w:rPr>
        <w:t>.</w:t>
      </w:r>
    </w:p>
    <w:p>
      <w:pPr>
        <w:spacing w:before="0" w:after="60" w:line="324" w:lineRule="auto"/>
        <w:ind w:left="543" w:hanging="283" w:right="260"/>
      </w:pPr>
      <w:r>
        <w:rPr>
          <w:rFonts w:ascii="Inter" w:hAnsi="Inter" w:cs="Inter" w:eastAsia="Inter"/>
          <w:b/>
          <w:i w:val="0"/>
          <w:color w:val="E34663"/>
          <w:sz w:val="20"/>
        </w:rPr>
        <w:t>•</w:t>
        <w:tab/>
      </w:r>
      <w:r>
        <w:rPr>
          <w:rFonts w:ascii="Inter" w:hAnsi="Inter" w:cs="Inter" w:eastAsia="Inter"/>
          <w:b w:val="0"/>
          <w:i w:val="0"/>
          <w:color w:val="35394F"/>
          <w:sz w:val="20"/>
        </w:rPr>
        <w:t>Recht auf Auskunft (Art. 15) – welche Daten wir über Sie speichern, einschließlich einer Kopie.</w:t>
      </w:r>
    </w:p>
    <w:p>
      <w:pPr>
        <w:spacing w:before="0" w:after="60" w:line="324" w:lineRule="auto"/>
        <w:ind w:left="543" w:hanging="283" w:right="260"/>
      </w:pPr>
      <w:r>
        <w:rPr>
          <w:rFonts w:ascii="Inter" w:hAnsi="Inter" w:cs="Inter" w:eastAsia="Inter"/>
          <w:b/>
          <w:i w:val="0"/>
          <w:color w:val="E34663"/>
          <w:sz w:val="20"/>
        </w:rPr>
        <w:t>•</w:t>
        <w:tab/>
      </w:r>
      <w:r>
        <w:rPr>
          <w:rFonts w:ascii="Inter" w:hAnsi="Inter" w:cs="Inter" w:eastAsia="Inter"/>
          <w:b w:val="0"/>
          <w:i w:val="0"/>
          <w:color w:val="35394F"/>
          <w:sz w:val="20"/>
        </w:rPr>
        <w:t>Recht auf Berichtigung (Art. 16) – Korrektur unrichtiger Daten.</w:t>
      </w:r>
    </w:p>
    <w:p>
      <w:pPr>
        <w:spacing w:before="0" w:after="60" w:line="324" w:lineRule="auto"/>
        <w:ind w:left="543" w:hanging="283" w:right="260"/>
      </w:pPr>
      <w:r>
        <w:rPr>
          <w:rFonts w:ascii="Inter" w:hAnsi="Inter" w:cs="Inter" w:eastAsia="Inter"/>
          <w:b/>
          <w:i w:val="0"/>
          <w:color w:val="E34663"/>
          <w:sz w:val="20"/>
        </w:rPr>
        <w:t>•</w:t>
        <w:tab/>
      </w:r>
      <w:r>
        <w:rPr>
          <w:rFonts w:ascii="Inter" w:hAnsi="Inter" w:cs="Inter" w:eastAsia="Inter"/>
          <w:b w:val="0"/>
          <w:i w:val="0"/>
          <w:color w:val="35394F"/>
          <w:sz w:val="20"/>
        </w:rPr>
        <w:t>Recht auf Löschung / „Recht auf Vergessenwerden“ (Art. 17), sofern die gesetzlichen Voraussetzungen vorliegen.</w:t>
      </w:r>
    </w:p>
    <w:p>
      <w:pPr>
        <w:spacing w:before="0" w:after="60" w:line="324" w:lineRule="auto"/>
        <w:ind w:left="543" w:hanging="283" w:right="260"/>
      </w:pPr>
      <w:r>
        <w:rPr>
          <w:rFonts w:ascii="Inter" w:hAnsi="Inter" w:cs="Inter" w:eastAsia="Inter"/>
          <w:b/>
          <w:i w:val="0"/>
          <w:color w:val="E34663"/>
          <w:sz w:val="20"/>
        </w:rPr>
        <w:t>•</w:t>
        <w:tab/>
      </w:r>
      <w:r>
        <w:rPr>
          <w:rFonts w:ascii="Inter" w:hAnsi="Inter" w:cs="Inter" w:eastAsia="Inter"/>
          <w:b w:val="0"/>
          <w:i w:val="0"/>
          <w:color w:val="35394F"/>
          <w:sz w:val="20"/>
        </w:rPr>
        <w:t>Recht auf Einschränkung der Verarbeitung (Art. 18).</w:t>
      </w:r>
    </w:p>
    <w:p>
      <w:pPr>
        <w:spacing w:before="0" w:after="60" w:line="324" w:lineRule="auto"/>
        <w:ind w:left="543" w:hanging="283" w:right="260"/>
      </w:pPr>
      <w:r>
        <w:rPr>
          <w:rFonts w:ascii="Inter" w:hAnsi="Inter" w:cs="Inter" w:eastAsia="Inter"/>
          <w:b/>
          <w:i w:val="0"/>
          <w:color w:val="E34663"/>
          <w:sz w:val="20"/>
        </w:rPr>
        <w:t>•</w:t>
        <w:tab/>
      </w:r>
      <w:r>
        <w:rPr>
          <w:rFonts w:ascii="Inter" w:hAnsi="Inter" w:cs="Inter" w:eastAsia="Inter"/>
          <w:b w:val="0"/>
          <w:i w:val="0"/>
          <w:color w:val="35394F"/>
          <w:sz w:val="20"/>
        </w:rPr>
        <w:t>Recht auf Datenübertragbarkeit (Art. 20) – Herausgabe Ihrer Daten in einem strukturierten, maschinenlesbaren Format.</w:t>
      </w:r>
    </w:p>
    <w:p>
      <w:pPr>
        <w:spacing w:before="0" w:after="60" w:line="324" w:lineRule="auto"/>
        <w:ind w:left="543" w:hanging="283" w:right="260"/>
      </w:pPr>
      <w:r>
        <w:rPr>
          <w:rFonts w:ascii="Inter" w:hAnsi="Inter" w:cs="Inter" w:eastAsia="Inter"/>
          <w:b/>
          <w:i w:val="0"/>
          <w:color w:val="E34663"/>
          <w:sz w:val="20"/>
        </w:rPr>
        <w:t>•</w:t>
        <w:tab/>
      </w:r>
      <w:r>
        <w:rPr>
          <w:rFonts w:ascii="Inter" w:hAnsi="Inter" w:cs="Inter" w:eastAsia="Inter"/>
          <w:b w:val="0"/>
          <w:i w:val="0"/>
          <w:color w:val="35394F"/>
          <w:sz w:val="20"/>
        </w:rPr>
        <w:t>Widerspruchsrecht (Art. 21) – Widerspruch gegen Verarbeitungen auf Grundlage berechtigter Interessen sowie jederzeit gegen Direktwerbung.</w:t>
      </w:r>
    </w:p>
    <w:p>
      <w:pPr>
        <w:spacing w:before="0" w:after="60" w:line="324" w:lineRule="auto"/>
        <w:ind w:left="543" w:hanging="283" w:right="260"/>
      </w:pPr>
      <w:r>
        <w:rPr>
          <w:rFonts w:ascii="Inter" w:hAnsi="Inter" w:cs="Inter" w:eastAsia="Inter"/>
          <w:b/>
          <w:i w:val="0"/>
          <w:color w:val="E34663"/>
          <w:sz w:val="20"/>
        </w:rPr>
        <w:t>•</w:t>
        <w:tab/>
      </w:r>
      <w:r>
        <w:rPr>
          <w:rFonts w:ascii="Inter" w:hAnsi="Inter" w:cs="Inter" w:eastAsia="Inter"/>
          <w:b w:val="0"/>
          <w:i w:val="0"/>
          <w:color w:val="35394F"/>
          <w:sz w:val="20"/>
        </w:rPr>
        <w:t>Recht auf Widerruf der Einwilligung (Art. 7 Abs. 3) – soweit die Verarbeitung auf einer Einwilligung beruht, können Sie diese jederzeit mit Wirkung für die Zukunft widerrufen.</w:t>
      </w:r>
    </w:p>
    <w:p>
      <w:pPr>
        <w:spacing w:before="0" w:after="120" w:line="324" w:lineRule="auto"/>
        <w:ind w:left="260" w:right="260"/>
      </w:pPr>
      <w:r>
        <w:rPr>
          <w:rFonts w:ascii="Inter" w:hAnsi="Inter" w:cs="Inter" w:eastAsia="Inter"/>
          <w:b w:val="0"/>
          <w:i w:val="0"/>
          <w:color w:val="35394F"/>
          <w:sz w:val="20"/>
        </w:rPr>
        <w:t>Wir beantworten Ihre Anfrage innerhalb eines Monats (Art. 12 Abs. 3).</w:t>
      </w: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4. Beschwerderecht bei der Aufsichtsbehörde</w:t>
      </w:r>
    </w:p>
    <w:p>
      <w:pPr>
        <w:spacing w:before="0" w:after="120" w:line="324" w:lineRule="auto"/>
        <w:ind w:left="260" w:right="260"/>
      </w:pPr>
      <w:r>
        <w:rPr>
          <w:rFonts w:ascii="Inter" w:hAnsi="Inter" w:cs="Inter" w:eastAsia="Inter"/>
          <w:b w:val="0"/>
          <w:i w:val="0"/>
          <w:color w:val="35394F"/>
          <w:sz w:val="20"/>
        </w:rPr>
        <w:t>Sind Sie der Ansicht, dass die Verarbeitung Ihrer personenbezogenen Daten gegen die DSGVO verstößt, haben Sie das Recht, sich bei einer Aufsichtsbehörde zu beschweren (Art. 77). Die für uns zuständige Behörde ist:</w:t>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9865"/>
      </w:tblGrid>
      <w:tr>
        <w:trPr>
          <w:cantSplit w:val="1"/>
        </w:trPr>
        <w:tc>
          <w:tcPr>
            <w:tcW w:type="dxa" w:w="9865"/>
            <w:shd w:val="clear" w:color="auto" w:fill="F9FAFB"/>
            <w:tcMar>
              <w:top w:w="130" w:type="dxa"/>
              <w:left w:w="0" w:type="dxa"/>
              <w:bottom w:w="130" w:type="dxa"/>
              <w:right w:w="0" w:type="dxa"/>
            </w:tcMar>
          </w:tcPr>
          <w:p>
            <w:pPr>
              <w:spacing w:before="0" w:after="0" w:line="312" w:lineRule="auto"/>
              <w:ind w:left="260" w:right="260"/>
            </w:pPr>
            <w:r>
              <w:rPr>
                <w:rFonts w:ascii="Inter" w:hAnsi="Inter" w:cs="Inter" w:eastAsia="Inter"/>
                <w:b/>
                <w:i w:val="0"/>
                <w:color w:val="E34663"/>
                <w:sz w:val="20"/>
              </w:rPr>
              <w:t>[Name der Aufsichtsbehörde Ihres Bundeslandes]</w:t>
            </w:r>
          </w:p>
          <w:p>
            <w:pPr>
              <w:spacing w:before="0" w:after="0" w:line="312" w:lineRule="auto"/>
              <w:ind w:left="260" w:right="260"/>
            </w:pPr>
            <w:r>
              <w:rPr>
                <w:rFonts w:ascii="Inter" w:hAnsi="Inter" w:cs="Inter" w:eastAsia="Inter"/>
                <w:b/>
                <w:i w:val="0"/>
                <w:color w:val="E34663"/>
                <w:sz w:val="20"/>
              </w:rPr>
              <w:t>[Anschrift]</w:t>
            </w:r>
          </w:p>
          <w:p>
            <w:pPr>
              <w:spacing w:before="0" w:after="0" w:line="312" w:lineRule="auto"/>
              <w:ind w:left="260" w:right="260"/>
            </w:pPr>
            <w:r>
              <w:rPr>
                <w:rFonts w:ascii="Inter" w:hAnsi="Inter" w:cs="Inter" w:eastAsia="Inter"/>
                <w:b/>
                <w:i w:val="0"/>
                <w:color w:val="E34663"/>
                <w:sz w:val="20"/>
              </w:rPr>
              <w:t>[Website]</w:t>
            </w:r>
          </w:p>
        </w:tc>
      </w:tr>
    </w:tbl>
    <w:p>
      <w:pPr>
        <w:spacing w:before="0" w:after="0" w:line="120" w:lineRule="exact"/>
      </w:pP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45"/>
        <w:gridCol w:w="9819"/>
      </w:tblGrid>
      <w:tr>
        <w:trPr>
          <w:cantSplit w:val="1"/>
        </w:trPr>
        <w:tc>
          <w:tcPr>
            <w:tcW w:type="dxa" w:w="45"/>
            <w:shd w:val="clear" w:color="auto" w:fill="E34663"/>
            <w:tcMar>
              <w:top w:w="130" w:type="dxa"/>
              <w:left w:w="0" w:type="dxa"/>
              <w:bottom w:w="130" w:type="dxa"/>
              <w:right w:w="0" w:type="dxa"/>
            </w:tcMar>
          </w:tcPr>
          <w:p/>
        </w:tc>
        <w:tc>
          <w:tcPr>
            <w:tcW w:type="dxa" w:w="9819"/>
            <w:shd w:val="clear" w:color="auto" w:fill="FEF6F7"/>
            <w:tcMar>
              <w:top w:w="130" w:type="dxa"/>
              <w:left w:w="0" w:type="dxa"/>
              <w:bottom w:w="130" w:type="dxa"/>
              <w:right w:w="0" w:type="dxa"/>
            </w:tcMar>
          </w:tcPr>
          <w:p>
            <w:pPr>
              <w:spacing w:before="0" w:after="0" w:line="312" w:lineRule="auto"/>
              <w:ind w:left="215" w:right="260"/>
            </w:pPr>
            <w:r>
              <w:rPr>
                <w:rFonts w:ascii="Funnel Display" w:hAnsi="Funnel Display" w:cs="Funnel Display" w:eastAsia="Funnel Display"/>
                <w:b/>
                <w:i w:val="0"/>
                <w:color w:val="E34663"/>
                <w:spacing w:val="8"/>
                <w:sz w:val="16"/>
              </w:rPr>
              <w:t xml:space="preserve">▸ HINWEIS ZUR VERWENDUNG  </w:t>
            </w:r>
            <w:r>
              <w:rPr>
                <w:rFonts w:ascii="Inter" w:hAnsi="Inter" w:cs="Inter" w:eastAsia="Inter"/>
                <w:b w:val="0"/>
                <w:i w:val="0"/>
                <w:color w:val="35394F"/>
                <w:sz w:val="16"/>
              </w:rPr>
              <w:t>In Deutschland hat jedes Bundesland eine eigene Aufsichtsbehörde (z. B. Berlin: Berliner Beauftragte für Datenschutz und Informationsfreiheit; Bayern: BayLDA). Nennen Sie die Behörde des Bundeslandes, in dem Ihr Unternehmen sitzt.</w:t>
            </w:r>
          </w:p>
        </w:tc>
      </w:tr>
    </w:tbl>
    <w:p>
      <w:pPr>
        <w:spacing w:before="0" w:after="0" w:line="120" w:lineRule="exact"/>
      </w:pP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5. Besuch unserer Website (Server-Logfiles)</w:t>
      </w:r>
    </w:p>
    <w:p>
      <w:pPr>
        <w:keepNext w:val="1"/>
        <w:keepLines w:val="1"/>
        <w:spacing w:before="180" w:after="60" w:line="276" w:lineRule="auto"/>
        <w:ind w:left="260" w:right="260"/>
      </w:pPr>
      <w:r>
        <w:rPr>
          <w:rFonts w:ascii="Funnel Display" w:hAnsi="Funnel Display" w:cs="Funnel Display" w:eastAsia="Funnel Display"/>
          <w:b/>
          <w:i w:val="0"/>
          <w:color w:val="35394F"/>
          <w:sz w:val="21"/>
        </w:rPr>
        <w:t>Welche Daten verarbeitet werden</w:t>
      </w:r>
    </w:p>
    <w:p>
      <w:pPr>
        <w:spacing w:before="0" w:after="120" w:line="324" w:lineRule="auto"/>
        <w:ind w:left="260" w:right="260"/>
      </w:pPr>
      <w:r>
        <w:rPr>
          <w:rFonts w:ascii="Inter" w:hAnsi="Inter" w:cs="Inter" w:eastAsia="Inter"/>
          <w:b w:val="0"/>
          <w:i w:val="0"/>
          <w:color w:val="35394F"/>
          <w:sz w:val="20"/>
        </w:rPr>
        <w:t>Bei jedem Besuch unserer Website erhebt und speichert unser Hosting-Anbieter automatisch Informationen in Server-Logfiles, die Ihr Browser übermittelt. Dazu gehören: Browsertyp und -version, Betriebssystem, Referrer-URL, Hostname des zugreifenden Geräts, Uhrzeit der Serveranfrage sowie IP-Adresse.</w:t>
      </w:r>
    </w:p>
    <w:p>
      <w:pPr>
        <w:keepNext w:val="1"/>
        <w:keepLines w:val="1"/>
        <w:spacing w:before="180" w:after="60" w:line="276" w:lineRule="auto"/>
        <w:ind w:left="260" w:right="260"/>
      </w:pPr>
      <w:r>
        <w:rPr>
          <w:rFonts w:ascii="Funnel Display" w:hAnsi="Funnel Display" w:cs="Funnel Display" w:eastAsia="Funnel Display"/>
          <w:b/>
          <w:i w:val="0"/>
          <w:color w:val="35394F"/>
          <w:sz w:val="21"/>
        </w:rPr>
        <w:t>Rechtsgrundlage und Zweck</w:t>
      </w:r>
    </w:p>
    <w:p>
      <w:pPr>
        <w:spacing w:before="0" w:after="120" w:line="324" w:lineRule="auto"/>
        <w:ind w:left="260" w:right="260"/>
      </w:pPr>
      <w:r>
        <w:rPr>
          <w:rFonts w:ascii="Inter" w:hAnsi="Inter" w:cs="Inter" w:eastAsia="Inter"/>
          <w:b w:val="0"/>
          <w:i w:val="0"/>
          <w:color w:val="35394F"/>
          <w:sz w:val="20"/>
        </w:rPr>
        <w:t>Die Verarbeitung erfolgt auf Grundlage unseres berechtigten Interesses (Art. 6 Abs. 1 lit. f DSGVO) am sicheren, stabilen und fehlerfreien Betrieb unserer Website. Eine Zusammenführung dieser Daten mit anderen Datenquellen erfolgt nicht.</w:t>
      </w:r>
    </w:p>
    <w:p>
      <w:pPr>
        <w:keepNext w:val="1"/>
        <w:keepLines w:val="1"/>
        <w:spacing w:before="180" w:after="60" w:line="276" w:lineRule="auto"/>
        <w:ind w:left="260" w:right="260"/>
      </w:pPr>
      <w:r>
        <w:rPr>
          <w:rFonts w:ascii="Funnel Display" w:hAnsi="Funnel Display" w:cs="Funnel Display" w:eastAsia="Funnel Display"/>
          <w:b/>
          <w:i w:val="0"/>
          <w:color w:val="35394F"/>
          <w:sz w:val="21"/>
        </w:rPr>
        <w:t>Hosting</w:t>
      </w:r>
    </w:p>
    <w:p>
      <w:pPr>
        <w:spacing w:before="0" w:after="120" w:line="324" w:lineRule="auto"/>
        <w:ind w:left="260" w:right="260"/>
      </w:pPr>
      <w:r>
        <w:rPr>
          <w:rFonts w:ascii="Inter" w:hAnsi="Inter" w:cs="Inter" w:eastAsia="Inter"/>
          <w:b w:val="0"/>
          <w:i w:val="0"/>
          <w:color w:val="35394F"/>
          <w:sz w:val="20"/>
        </w:rPr>
        <w:t xml:space="preserve">Unsere Website wird gehostet von </w:t>
      </w:r>
      <w:r>
        <w:rPr>
          <w:rFonts w:ascii="Inter" w:hAnsi="Inter" w:cs="Inter" w:eastAsia="Inter"/>
          <w:b/>
          <w:i w:val="0"/>
          <w:color w:val="E34663"/>
          <w:sz w:val="20"/>
        </w:rPr>
        <w:t>[Name und Anschrift des Hosting-Anbieters]</w:t>
      </w:r>
      <w:r>
        <w:rPr>
          <w:rFonts w:ascii="Inter" w:hAnsi="Inter" w:cs="Inter" w:eastAsia="Inter"/>
          <w:b w:val="0"/>
          <w:i w:val="0"/>
          <w:color w:val="35394F"/>
          <w:sz w:val="20"/>
        </w:rPr>
        <w:t xml:space="preserve">. Der Anbieter verarbeitet die vorgenannten Daten in unserem Auftrag als Auftragsverarbeiter auf Grundlage eines Auftragsverarbeitungsvertrags (Art. 28 DSGVO). Server-Logfiles werden nach </w:t>
      </w:r>
      <w:r>
        <w:rPr>
          <w:rFonts w:ascii="Inter" w:hAnsi="Inter" w:cs="Inter" w:eastAsia="Inter"/>
          <w:b/>
          <w:i w:val="0"/>
          <w:color w:val="E34663"/>
          <w:sz w:val="20"/>
        </w:rPr>
        <w:t>[z. B. 7 / 30]</w:t>
      </w:r>
      <w:r>
        <w:rPr>
          <w:rFonts w:ascii="Inter" w:hAnsi="Inter" w:cs="Inter" w:eastAsia="Inter"/>
          <w:b w:val="0"/>
          <w:i w:val="0"/>
          <w:color w:val="35394F"/>
          <w:sz w:val="20"/>
        </w:rPr>
        <w:t xml:space="preserve"> Tagen gelöscht.</w:t>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45"/>
        <w:gridCol w:w="9819"/>
      </w:tblGrid>
      <w:tr>
        <w:trPr>
          <w:cantSplit w:val="1"/>
        </w:trPr>
        <w:tc>
          <w:tcPr>
            <w:tcW w:type="dxa" w:w="45"/>
            <w:shd w:val="clear" w:color="auto" w:fill="E34663"/>
            <w:tcMar>
              <w:top w:w="130" w:type="dxa"/>
              <w:left w:w="0" w:type="dxa"/>
              <w:bottom w:w="130" w:type="dxa"/>
              <w:right w:w="0" w:type="dxa"/>
            </w:tcMar>
          </w:tcPr>
          <w:p/>
        </w:tc>
        <w:tc>
          <w:tcPr>
            <w:tcW w:type="dxa" w:w="9819"/>
            <w:shd w:val="clear" w:color="auto" w:fill="FEF6F7"/>
            <w:tcMar>
              <w:top w:w="130" w:type="dxa"/>
              <w:left w:w="0" w:type="dxa"/>
              <w:bottom w:w="130" w:type="dxa"/>
              <w:right w:w="0" w:type="dxa"/>
            </w:tcMar>
          </w:tcPr>
          <w:p>
            <w:pPr>
              <w:spacing w:before="0" w:after="0" w:line="312" w:lineRule="auto"/>
              <w:ind w:left="215" w:right="260"/>
            </w:pPr>
            <w:r>
              <w:rPr>
                <w:rFonts w:ascii="Funnel Display" w:hAnsi="Funnel Display" w:cs="Funnel Display" w:eastAsia="Funnel Display"/>
                <w:b/>
                <w:i w:val="0"/>
                <w:color w:val="E34663"/>
                <w:spacing w:val="8"/>
                <w:sz w:val="16"/>
              </w:rPr>
              <w:t xml:space="preserve">▸ HINWEIS ZUR VERWENDUNG  </w:t>
            </w:r>
            <w:r>
              <w:rPr>
                <w:rFonts w:ascii="Inter" w:hAnsi="Inter" w:cs="Inter" w:eastAsia="Inter"/>
                <w:b w:val="0"/>
                <w:i w:val="0"/>
                <w:color w:val="35394F"/>
                <w:sz w:val="16"/>
              </w:rPr>
              <w:t>Nennen Sie Ihren tatsächlichen Hosting-Anbieter. Sitzt dieser außerhalb der EU, ergänzen Sie das Modul „Drittlandübermittlungen“. Passen Sie die Speicherdauer an die tatsächliche Einstellung an.</w:t>
            </w:r>
          </w:p>
        </w:tc>
      </w:tr>
    </w:tbl>
    <w:p>
      <w:pPr>
        <w:spacing w:before="0" w:after="0" w:line="120" w:lineRule="exact"/>
      </w:pP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6. Kontaktaufnahme (Kontaktformular &amp; E-Mail)</w:t>
      </w:r>
    </w:p>
    <w:p>
      <w:pPr>
        <w:spacing w:before="0" w:after="120" w:line="324" w:lineRule="auto"/>
        <w:ind w:left="260" w:right="260"/>
      </w:pPr>
      <w:r>
        <w:rPr>
          <w:rFonts w:ascii="Inter" w:hAnsi="Inter" w:cs="Inter" w:eastAsia="Inter"/>
          <w:b w:val="0"/>
          <w:i w:val="0"/>
          <w:color w:val="35394F"/>
          <w:sz w:val="20"/>
        </w:rPr>
        <w:t>Wenn Sie uns über das Kontaktformular oder per E-Mail kontaktieren, verarbeiten wir die von Ihnen angegebenen Daten (z. B. Name, E-Mail-Adresse, Ihre Nachricht) zur Bearbeitung Ihrer Anfrage. Rechtsgrundlage ist Art. 6 Abs. 1 lit. b DSGVO, sofern Ihre Anfrage einen Vertrag betrifft, andernfalls unser berechtigtes Interesse an der Beantwortung von Anfragen (Art. 6 Abs. 1 lit. f DSGVO). Wir speichern diese Daten, bis Ihre Anfrage abschließend bearbeitet ist und etwaige gesetzliche Aufbewahrungsfristen abgelaufen sind; anschließend werden sie gelöscht.</w:t>
      </w: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7. Speicherdauer</w:t>
      </w:r>
    </w:p>
    <w:p>
      <w:pPr>
        <w:spacing w:before="0" w:after="120" w:line="324" w:lineRule="auto"/>
        <w:ind w:left="260" w:right="260"/>
      </w:pPr>
      <w:r>
        <w:rPr>
          <w:rFonts w:ascii="Inter" w:hAnsi="Inter" w:cs="Inter" w:eastAsia="Inter"/>
          <w:b w:val="0"/>
          <w:i w:val="0"/>
          <w:color w:val="35394F"/>
          <w:sz w:val="20"/>
        </w:rPr>
        <w:t>Wir verarbeiten und speichern personenbezogene Daten nur so lange, wie es für den jeweiligen Zweck erforderlich ist oder gesetzliche Aufbewahrungspflichten dies vorschreiben. Nach Handels- und Steuerrecht (§ 257 HGB, § 147 AO) sind Geschäfts- und Buchführungsunterlagen bis zu 10 Jahre aufzubewahren. Nach Ablauf der jeweiligen Frist werden die entsprechenden Daten routinemäßig gelöscht.</w:t>
      </w: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8. Datensicherheit</w:t>
      </w:r>
    </w:p>
    <w:p>
      <w:pPr>
        <w:spacing w:before="0" w:after="120" w:line="324" w:lineRule="auto"/>
        <w:ind w:left="260" w:right="260"/>
      </w:pPr>
      <w:r>
        <w:rPr>
          <w:rFonts w:ascii="Inter" w:hAnsi="Inter" w:cs="Inter" w:eastAsia="Inter"/>
          <w:b w:val="0"/>
          <w:i w:val="0"/>
          <w:color w:val="35394F"/>
          <w:sz w:val="20"/>
        </w:rPr>
        <w:t>Wir treffen geeignete technische und organisatorische Maßnahmen (Art. 32 DSGVO), um Ihre Daten gegen unbefugten Zugriff, Verlust oder Manipulation zu schützen. Unsere Website nutzt eine SSL/TLS-Verschlüsselung, erkennbar am „https://“ in der Adresszeile. Unsere Sicherheitsmaßnahmen werden entsprechend der technologischen Entwicklung fortlaufend überprüft und verbessert.</w:t>
      </w: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9. Änderungen dieser Datenschutzerklärung</w:t>
      </w:r>
    </w:p>
    <w:p>
      <w:pPr>
        <w:spacing w:before="0" w:after="120" w:line="324" w:lineRule="auto"/>
        <w:ind w:left="260" w:right="260"/>
      </w:pPr>
      <w:r>
        <w:rPr>
          <w:rFonts w:ascii="Inter" w:hAnsi="Inter" w:cs="Inter" w:eastAsia="Inter"/>
          <w:b w:val="0"/>
          <w:i w:val="0"/>
          <w:color w:val="35394F"/>
          <w:sz w:val="20"/>
        </w:rPr>
        <w:t xml:space="preserve">Wir können diese Datenschutzerklärung anpassen, um Änderungen unserer Verarbeitung oder der rechtlichen Anforderungen abzubilden. Es gilt jeweils die aktuelle, auf dieser Seite veröffentlichte Fassung. Stand: </w:t>
      </w:r>
      <w:r>
        <w:rPr>
          <w:rFonts w:ascii="Inter" w:hAnsi="Inter" w:cs="Inter" w:eastAsia="Inter"/>
          <w:b/>
          <w:i w:val="0"/>
          <w:color w:val="E34663"/>
          <w:sz w:val="20"/>
        </w:rPr>
        <w:t>[Monat Jahr]</w:t>
      </w:r>
      <w:r>
        <w:rPr>
          <w:rFonts w:ascii="Inter" w:hAnsi="Inter" w:cs="Inter" w:eastAsia="Inter"/>
          <w:b w:val="0"/>
          <w:i w:val="0"/>
          <w:color w:val="35394F"/>
          <w:sz w:val="20"/>
        </w:rPr>
        <w:t>.</w:t>
      </w:r>
    </w:p>
    <w:p>
      <w:pPr>
        <w:pageBreakBefore w:val="1"/>
        <w:spacing w:before="0" w:after="0" w:line="20" w:lineRule="exact"/>
      </w:pP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9865"/>
      </w:tblGrid>
      <w:tr>
        <w:tc>
          <w:tcPr>
            <w:tcW w:type="dxa" w:w="9865"/>
            <w:shd w:val="clear" w:color="auto" w:fill="35394F"/>
            <w:tcMar>
              <w:top w:w="140" w:type="dxa"/>
              <w:left w:w="0" w:type="dxa"/>
              <w:bottom w:w="140" w:type="dxa"/>
              <w:right w:w="0" w:type="dxa"/>
            </w:tcMar>
          </w:tcPr>
          <w:p>
            <w:pPr>
              <w:keepNext w:val="1"/>
              <w:keepLines w:val="1"/>
              <w:spacing w:before="0" w:after="0" w:line="240" w:lineRule="auto"/>
              <w:ind w:left="260" w:right="260"/>
            </w:pPr>
            <w:r>
              <w:rPr>
                <w:rFonts w:ascii="Funnel Display" w:hAnsi="Funnel Display" w:cs="Funnel Display" w:eastAsia="Funnel Display"/>
                <w:b/>
                <w:i w:val="0"/>
                <w:color w:val="FFFFFF"/>
                <w:sz w:val="30"/>
              </w:rPr>
              <w:t>Optionale Module</w:t>
            </w:r>
          </w:p>
        </w:tc>
      </w:tr>
    </w:tbl>
    <w:p>
      <w:pPr>
        <w:spacing w:before="0" w:after="0" w:line="160" w:lineRule="exact"/>
      </w:pP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45"/>
        <w:gridCol w:w="9819"/>
      </w:tblGrid>
      <w:tr>
        <w:trPr>
          <w:cantSplit w:val="1"/>
        </w:trPr>
        <w:tc>
          <w:tcPr>
            <w:tcW w:type="dxa" w:w="45"/>
            <w:shd w:val="clear" w:color="auto" w:fill="E34663"/>
            <w:tcMar>
              <w:top w:w="130" w:type="dxa"/>
              <w:left w:w="0" w:type="dxa"/>
              <w:bottom w:w="130" w:type="dxa"/>
              <w:right w:w="0" w:type="dxa"/>
            </w:tcMar>
          </w:tcPr>
          <w:p/>
        </w:tc>
        <w:tc>
          <w:tcPr>
            <w:tcW w:type="dxa" w:w="9819"/>
            <w:shd w:val="clear" w:color="auto" w:fill="FEF6F7"/>
            <w:tcMar>
              <w:top w:w="130" w:type="dxa"/>
              <w:left w:w="0" w:type="dxa"/>
              <w:bottom w:w="130" w:type="dxa"/>
              <w:right w:w="0" w:type="dxa"/>
            </w:tcMar>
          </w:tcPr>
          <w:p>
            <w:pPr>
              <w:spacing w:before="0" w:after="0" w:line="312" w:lineRule="auto"/>
              <w:ind w:left="215" w:right="260"/>
            </w:pPr>
            <w:r>
              <w:rPr>
                <w:rFonts w:ascii="Funnel Display" w:hAnsi="Funnel Display" w:cs="Funnel Display" w:eastAsia="Funnel Display"/>
                <w:b/>
                <w:i w:val="0"/>
                <w:color w:val="E34663"/>
                <w:spacing w:val="8"/>
                <w:sz w:val="16"/>
              </w:rPr>
              <w:t xml:space="preserve">▸ HINWEIS ZUR VERWENDUNG  </w:t>
            </w:r>
            <w:r>
              <w:rPr>
                <w:rFonts w:ascii="Inter" w:hAnsi="Inter" w:cs="Inter" w:eastAsia="Inter"/>
                <w:b w:val="0"/>
                <w:i w:val="0"/>
                <w:color w:val="35394F"/>
                <w:sz w:val="16"/>
              </w:rPr>
              <w:t>Alles Folgende ist OPTIONAL. Behalten Sie ein Modul nur, wenn Sie das jeweilige Tool oder den Prozess tatsächlich nutzen. Verschieben Sie behaltene Module in die nummerierte Reihenfolge oben (und nummerieren Sie neu), löschen Sie dann diese Überschrift, alle Modul-Markierungen und alle Hinweis-Kästen.</w:t>
            </w:r>
          </w:p>
        </w:tc>
      </w:tr>
    </w:tbl>
    <w:p>
      <w:pPr>
        <w:spacing w:before="0" w:after="0" w:line="120" w:lineRule="exact"/>
      </w:pP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45"/>
        <w:gridCol w:w="9819"/>
      </w:tblGrid>
      <w:tr>
        <w:trPr>
          <w:cantSplit w:val="1"/>
        </w:trPr>
        <w:tc>
          <w:tcPr>
            <w:tcW w:type="dxa" w:w="45"/>
            <w:shd w:val="clear" w:color="auto" w:fill="35394F"/>
            <w:tcMar>
              <w:top w:w="130" w:type="dxa"/>
              <w:left w:w="0" w:type="dxa"/>
              <w:bottom w:w="130" w:type="dxa"/>
              <w:right w:w="0" w:type="dxa"/>
            </w:tcMar>
          </w:tcPr>
          <w:p/>
        </w:tc>
        <w:tc>
          <w:tcPr>
            <w:tcW w:type="dxa" w:w="9819"/>
            <w:tcBorders>
              <w:top w:val="single" w:sz="4" w:space="0" w:color="E5E7EB"/>
              <w:bottom w:val="single" w:sz="4" w:space="0" w:color="E5E7EB"/>
            </w:tcBorders>
            <w:shd w:val="clear" w:color="auto" w:fill="FFFFFF"/>
            <w:tcMar>
              <w:top w:w="130" w:type="dxa"/>
              <w:left w:w="0" w:type="dxa"/>
              <w:bottom w:w="130" w:type="dxa"/>
              <w:right w:w="0" w:type="dxa"/>
            </w:tcMar>
          </w:tcPr>
          <w:p>
            <w:pPr>
              <w:keepNext w:val="1"/>
              <w:keepLines w:val="1"/>
              <w:spacing w:before="0" w:after="0" w:line="312" w:lineRule="auto"/>
              <w:ind w:left="215" w:right="260"/>
            </w:pPr>
            <w:r>
              <w:rPr>
                <w:rFonts w:ascii="Funnel Display" w:hAnsi="Funnel Display" w:cs="Funnel Display" w:eastAsia="Funnel Display"/>
                <w:b/>
                <w:i w:val="0"/>
                <w:color w:val="35394F"/>
                <w:spacing w:val="8"/>
                <w:sz w:val="16"/>
              </w:rPr>
              <w:t xml:space="preserve">◆ OPTIONALES MODUL  </w:t>
            </w:r>
            <w:r>
              <w:rPr>
                <w:rFonts w:ascii="Inter" w:hAnsi="Inter" w:cs="Inter" w:eastAsia="Inter"/>
                <w:b w:val="0"/>
                <w:i w:val="0"/>
                <w:color w:val="6B7280"/>
                <w:sz w:val="16"/>
              </w:rPr>
              <w:t>NEWSLETTER – nur behalten, wenn Sie einen Werbe-Newsletter versenden.</w:t>
            </w:r>
          </w:p>
        </w:tc>
      </w:tr>
    </w:tbl>
    <w:p>
      <w:pPr>
        <w:spacing w:before="0" w:after="0" w:line="120" w:lineRule="exact"/>
      </w:pP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Newsletter</w:t>
      </w:r>
    </w:p>
    <w:p>
      <w:pPr>
        <w:spacing w:before="0" w:after="120" w:line="324" w:lineRule="auto"/>
        <w:ind w:left="260" w:right="260"/>
      </w:pPr>
      <w:r>
        <w:rPr>
          <w:rFonts w:ascii="Inter" w:hAnsi="Inter" w:cs="Inter" w:eastAsia="Inter"/>
          <w:b w:val="0"/>
          <w:i w:val="0"/>
          <w:color w:val="35394F"/>
          <w:sz w:val="20"/>
        </w:rPr>
        <w:t xml:space="preserve">Wenn Sie unseren Newsletter abonnieren, verwenden wir die von Ihnen angegebene E-Mail-Adresse, um Sie über unsere Produkte, Leistungen und Angebote zu informieren. Die Anmeldung erfolgt im Double-Opt-in-Verfahren: Sie erhalten eine Bestätigungs-E-Mail, und Ihr Abonnement wird erst nach Ihrer Bestätigung aktiviert. Rechtsgrundlage ist Ihre Einwilligung (Art. 6 Abs. 1 lit. a DSGVO). Sie können sich jederzeit über den Link in jedem Newsletter oder per E-Mail an </w:t>
      </w:r>
      <w:r>
        <w:rPr>
          <w:rFonts w:ascii="Inter" w:hAnsi="Inter" w:cs="Inter" w:eastAsia="Inter"/>
          <w:b/>
          <w:i w:val="0"/>
          <w:color w:val="E34663"/>
          <w:sz w:val="20"/>
        </w:rPr>
        <w:t>[kontakt@beispiel.de]</w:t>
      </w:r>
      <w:r>
        <w:rPr>
          <w:rFonts w:ascii="Inter" w:hAnsi="Inter" w:cs="Inter" w:eastAsia="Inter"/>
          <w:b w:val="0"/>
          <w:i w:val="0"/>
          <w:color w:val="35394F"/>
          <w:sz w:val="20"/>
        </w:rPr>
        <w:t xml:space="preserve"> abmelden und Ihre Einwilligung widerrufen. Ihre Einwilligung protokollieren wir (Zeitstempel) als Nachweis. Der Versand erfolgt über </w:t>
      </w:r>
      <w:r>
        <w:rPr>
          <w:rFonts w:ascii="Inter" w:hAnsi="Inter" w:cs="Inter" w:eastAsia="Inter"/>
          <w:b/>
          <w:i w:val="0"/>
          <w:color w:val="E34663"/>
          <w:sz w:val="20"/>
        </w:rPr>
        <w:t>[Newsletter-Anbieter, z. B. HubSpot / Brevo]</w:t>
      </w:r>
      <w:r>
        <w:rPr>
          <w:rFonts w:ascii="Inter" w:hAnsi="Inter" w:cs="Inter" w:eastAsia="Inter"/>
          <w:b w:val="0"/>
          <w:i w:val="0"/>
          <w:color w:val="35394F"/>
          <w:sz w:val="20"/>
        </w:rPr>
        <w:t>, der als Auftragsverarbeiter auf Grundlage eines Auftragsverarbeitungsvertrags tätig wird.</w:t>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45"/>
        <w:gridCol w:w="9819"/>
      </w:tblGrid>
      <w:tr>
        <w:trPr>
          <w:cantSplit w:val="1"/>
        </w:trPr>
        <w:tc>
          <w:tcPr>
            <w:tcW w:type="dxa" w:w="45"/>
            <w:shd w:val="clear" w:color="auto" w:fill="E34663"/>
            <w:tcMar>
              <w:top w:w="130" w:type="dxa"/>
              <w:left w:w="0" w:type="dxa"/>
              <w:bottom w:w="130" w:type="dxa"/>
              <w:right w:w="0" w:type="dxa"/>
            </w:tcMar>
          </w:tcPr>
          <w:p/>
        </w:tc>
        <w:tc>
          <w:tcPr>
            <w:tcW w:type="dxa" w:w="9819"/>
            <w:shd w:val="clear" w:color="auto" w:fill="FEF6F7"/>
            <w:tcMar>
              <w:top w:w="130" w:type="dxa"/>
              <w:left w:w="0" w:type="dxa"/>
              <w:bottom w:w="130" w:type="dxa"/>
              <w:right w:w="0" w:type="dxa"/>
            </w:tcMar>
          </w:tcPr>
          <w:p>
            <w:pPr>
              <w:spacing w:before="0" w:after="0" w:line="312" w:lineRule="auto"/>
              <w:ind w:left="215" w:right="260"/>
            </w:pPr>
            <w:r>
              <w:rPr>
                <w:rFonts w:ascii="Funnel Display" w:hAnsi="Funnel Display" w:cs="Funnel Display" w:eastAsia="Funnel Display"/>
                <w:b/>
                <w:i w:val="0"/>
                <w:color w:val="E34663"/>
                <w:spacing w:val="8"/>
                <w:sz w:val="16"/>
              </w:rPr>
              <w:t xml:space="preserve">▸ HINWEIS ZUR VERWENDUNG  </w:t>
            </w:r>
            <w:r>
              <w:rPr>
                <w:rFonts w:ascii="Inter" w:hAnsi="Inter" w:cs="Inter" w:eastAsia="Inter"/>
                <w:b w:val="0"/>
                <w:i w:val="0"/>
                <w:color w:val="35394F"/>
                <w:sz w:val="16"/>
              </w:rPr>
              <w:t>Nennen Sie Ihr tatsächliches Newsletter-Tool. Sitzt es in den USA (z. B. HubSpot, Mailchimp), behalten Sie zusätzlich das Modul „Drittlandübermittlungen“.</w:t>
            </w:r>
          </w:p>
        </w:tc>
      </w:tr>
    </w:tbl>
    <w:p>
      <w:pPr>
        <w:spacing w:before="0" w:after="0" w:line="120" w:lineRule="exact"/>
      </w:pP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45"/>
        <w:gridCol w:w="9819"/>
      </w:tblGrid>
      <w:tr>
        <w:trPr>
          <w:cantSplit w:val="1"/>
        </w:trPr>
        <w:tc>
          <w:tcPr>
            <w:tcW w:type="dxa" w:w="45"/>
            <w:shd w:val="clear" w:color="auto" w:fill="35394F"/>
            <w:tcMar>
              <w:top w:w="130" w:type="dxa"/>
              <w:left w:w="0" w:type="dxa"/>
              <w:bottom w:w="130" w:type="dxa"/>
              <w:right w:w="0" w:type="dxa"/>
            </w:tcMar>
          </w:tcPr>
          <w:p/>
        </w:tc>
        <w:tc>
          <w:tcPr>
            <w:tcW w:type="dxa" w:w="9819"/>
            <w:tcBorders>
              <w:top w:val="single" w:sz="4" w:space="0" w:color="E5E7EB"/>
              <w:bottom w:val="single" w:sz="4" w:space="0" w:color="E5E7EB"/>
            </w:tcBorders>
            <w:shd w:val="clear" w:color="auto" w:fill="FFFFFF"/>
            <w:tcMar>
              <w:top w:w="130" w:type="dxa"/>
              <w:left w:w="0" w:type="dxa"/>
              <w:bottom w:w="130" w:type="dxa"/>
              <w:right w:w="0" w:type="dxa"/>
            </w:tcMar>
          </w:tcPr>
          <w:p>
            <w:pPr>
              <w:keepNext w:val="1"/>
              <w:keepLines w:val="1"/>
              <w:spacing w:before="0" w:after="0" w:line="312" w:lineRule="auto"/>
              <w:ind w:left="215" w:right="260"/>
            </w:pPr>
            <w:r>
              <w:rPr>
                <w:rFonts w:ascii="Funnel Display" w:hAnsi="Funnel Display" w:cs="Funnel Display" w:eastAsia="Funnel Display"/>
                <w:b/>
                <w:i w:val="0"/>
                <w:color w:val="35394F"/>
                <w:spacing w:val="8"/>
                <w:sz w:val="16"/>
              </w:rPr>
              <w:t xml:space="preserve">◆ OPTIONALES MODUL  </w:t>
            </w:r>
            <w:r>
              <w:rPr>
                <w:rFonts w:ascii="Inter" w:hAnsi="Inter" w:cs="Inter" w:eastAsia="Inter"/>
                <w:b w:val="0"/>
                <w:i w:val="0"/>
                <w:color w:val="6B7280"/>
                <w:sz w:val="16"/>
              </w:rPr>
              <w:t>COOKIES &amp; WEB-ANALYSE – behalten bei Analyse-Einsatz. Vorlage unten = Matomo, cookiefrei.</w:t>
            </w:r>
          </w:p>
        </w:tc>
      </w:tr>
    </w:tbl>
    <w:p>
      <w:pPr>
        <w:spacing w:before="0" w:after="0" w:line="120" w:lineRule="exact"/>
      </w:pP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Cookies und Web-Analyse</w:t>
      </w:r>
    </w:p>
    <w:p>
      <w:pPr>
        <w:keepNext w:val="1"/>
        <w:keepLines w:val="1"/>
        <w:spacing w:before="180" w:after="60" w:line="276" w:lineRule="auto"/>
        <w:ind w:left="260" w:right="260"/>
      </w:pPr>
      <w:r>
        <w:rPr>
          <w:rFonts w:ascii="Funnel Display" w:hAnsi="Funnel Display" w:cs="Funnel Display" w:eastAsia="Funnel Display"/>
          <w:b/>
          <w:i w:val="0"/>
          <w:color w:val="35394F"/>
          <w:sz w:val="21"/>
        </w:rPr>
        <w:t>Cookies</w:t>
      </w:r>
    </w:p>
    <w:p>
      <w:pPr>
        <w:spacing w:before="0" w:after="120" w:line="324" w:lineRule="auto"/>
        <w:ind w:left="260" w:right="260"/>
      </w:pPr>
      <w:r>
        <w:rPr>
          <w:rFonts w:ascii="Inter" w:hAnsi="Inter" w:cs="Inter" w:eastAsia="Inter"/>
          <w:b w:val="0"/>
          <w:i w:val="0"/>
          <w:color w:val="35394F"/>
          <w:sz w:val="20"/>
        </w:rPr>
        <w:t xml:space="preserve">Unsere Website verwendet ausschließlich technisch notwendige Cookies, die für den Grundbetrieb erforderlich sind. Diese bedürfen keiner Einwilligung (§ 25 Abs. 2 TDDDG). </w:t>
      </w:r>
      <w:r>
        <w:rPr>
          <w:rFonts w:ascii="Inter" w:hAnsi="Inter" w:cs="Inter" w:eastAsia="Inter"/>
          <w:b/>
          <w:i w:val="0"/>
          <w:color w:val="E34663"/>
          <w:sz w:val="20"/>
        </w:rPr>
        <w:t>[Falls Sie nicht notwendige Cookies einsetzen, müssen Sie hierfür über ein Consent-Banner eine Einwilligung einholen und diese hier beschreiben.]</w:t>
      </w:r>
    </w:p>
    <w:p>
      <w:pPr>
        <w:keepNext w:val="1"/>
        <w:keepLines w:val="1"/>
        <w:spacing w:before="180" w:after="60" w:line="276" w:lineRule="auto"/>
        <w:ind w:left="260" w:right="260"/>
      </w:pPr>
      <w:r>
        <w:rPr>
          <w:rFonts w:ascii="Funnel Display" w:hAnsi="Funnel Display" w:cs="Funnel Display" w:eastAsia="Funnel Display"/>
          <w:b/>
          <w:i w:val="0"/>
          <w:color w:val="35394F"/>
          <w:sz w:val="21"/>
        </w:rPr>
        <w:t>Web-Analyse (Matomo)</w:t>
      </w:r>
    </w:p>
    <w:p>
      <w:pPr>
        <w:spacing w:before="0" w:after="120" w:line="324" w:lineRule="auto"/>
        <w:ind w:left="260" w:right="260"/>
      </w:pPr>
      <w:r>
        <w:rPr>
          <w:rFonts w:ascii="Inter" w:hAnsi="Inter" w:cs="Inter" w:eastAsia="Inter"/>
          <w:b w:val="0"/>
          <w:i w:val="0"/>
          <w:color w:val="35394F"/>
          <w:sz w:val="20"/>
        </w:rPr>
        <w:t>Wir nutzen Matomo, ein Open-Source-Webanalyse-Tool, das wir auf eigenen Servern innerhalb der EU betreiben. Matomo ist so konfiguriert, dass es ohne Cookies arbeitet und Ihre IP-Adresse vor der Speicherung anonymisiert (das letzte Oktett wird entfernt). Es findet keine Übermittlung an Dritte statt. Wir nutzen diese Daten, um die Nutzung unserer Website zu verstehen und diese zu verbessern. Rechtsgrundlage ist unser berechtigtes Interesse (Art. 6 Abs. 1 lit. f DSGVO) an einer bedarfsgerechten und optimierten Website. Da die Konfiguration cookiefrei und IP-anonymisiert ist, ist keine Einwilligung erforderlich.</w:t>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45"/>
        <w:gridCol w:w="9819"/>
      </w:tblGrid>
      <w:tr>
        <w:trPr>
          <w:cantSplit w:val="1"/>
        </w:trPr>
        <w:tc>
          <w:tcPr>
            <w:tcW w:type="dxa" w:w="45"/>
            <w:shd w:val="clear" w:color="auto" w:fill="E34663"/>
            <w:tcMar>
              <w:top w:w="130" w:type="dxa"/>
              <w:left w:w="0" w:type="dxa"/>
              <w:bottom w:w="130" w:type="dxa"/>
              <w:right w:w="0" w:type="dxa"/>
            </w:tcMar>
          </w:tcPr>
          <w:p/>
        </w:tc>
        <w:tc>
          <w:tcPr>
            <w:tcW w:type="dxa" w:w="9819"/>
            <w:shd w:val="clear" w:color="auto" w:fill="FEF6F7"/>
            <w:tcMar>
              <w:top w:w="130" w:type="dxa"/>
              <w:left w:w="0" w:type="dxa"/>
              <w:bottom w:w="130" w:type="dxa"/>
              <w:right w:w="0" w:type="dxa"/>
            </w:tcMar>
          </w:tcPr>
          <w:p>
            <w:pPr>
              <w:spacing w:before="0" w:after="0" w:line="312" w:lineRule="auto"/>
              <w:ind w:left="215" w:right="260"/>
            </w:pPr>
            <w:r>
              <w:rPr>
                <w:rFonts w:ascii="Funnel Display" w:hAnsi="Funnel Display" w:cs="Funnel Display" w:eastAsia="Funnel Display"/>
                <w:b/>
                <w:i w:val="0"/>
                <w:color w:val="E34663"/>
                <w:spacing w:val="8"/>
                <w:sz w:val="16"/>
              </w:rPr>
              <w:t xml:space="preserve">▸ HINWEIS ZUR VERWENDUNG  </w:t>
            </w:r>
            <w:r>
              <w:rPr>
                <w:rFonts w:ascii="Inter" w:hAnsi="Inter" w:cs="Inter" w:eastAsia="Inter"/>
                <w:b w:val="0"/>
                <w:i w:val="0"/>
                <w:color w:val="35394F"/>
                <w:sz w:val="16"/>
              </w:rPr>
              <w:t>Diese Vorlage entspricht einer selbst gehosteten, cookiefreien Matomo-Konfiguration. Falls Sie Google Analytics oder ein Tool nutzen, das Cookies setzt oder Daten in ein Drittland überträgt, muss dieser Abschnitt umgeschrieben werden: Sie benötigen dann ein Consent-Banner, die Einwilligung als Rechtsgrundlage (Art. 6 Abs. 1 lit. a) und das Modul „Drittlandübermittlungen“.</w:t>
            </w:r>
          </w:p>
        </w:tc>
      </w:tr>
    </w:tbl>
    <w:p>
      <w:pPr>
        <w:spacing w:before="0" w:after="0" w:line="120" w:lineRule="exact"/>
      </w:pP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45"/>
        <w:gridCol w:w="9819"/>
      </w:tblGrid>
      <w:tr>
        <w:trPr>
          <w:cantSplit w:val="1"/>
        </w:trPr>
        <w:tc>
          <w:tcPr>
            <w:tcW w:type="dxa" w:w="45"/>
            <w:shd w:val="clear" w:color="auto" w:fill="35394F"/>
            <w:tcMar>
              <w:top w:w="130" w:type="dxa"/>
              <w:left w:w="0" w:type="dxa"/>
              <w:bottom w:w="130" w:type="dxa"/>
              <w:right w:w="0" w:type="dxa"/>
            </w:tcMar>
          </w:tcPr>
          <w:p/>
        </w:tc>
        <w:tc>
          <w:tcPr>
            <w:tcW w:type="dxa" w:w="9819"/>
            <w:tcBorders>
              <w:top w:val="single" w:sz="4" w:space="0" w:color="E5E7EB"/>
              <w:bottom w:val="single" w:sz="4" w:space="0" w:color="E5E7EB"/>
            </w:tcBorders>
            <w:shd w:val="clear" w:color="auto" w:fill="FFFFFF"/>
            <w:tcMar>
              <w:top w:w="130" w:type="dxa"/>
              <w:left w:w="0" w:type="dxa"/>
              <w:bottom w:w="130" w:type="dxa"/>
              <w:right w:w="0" w:type="dxa"/>
            </w:tcMar>
          </w:tcPr>
          <w:p>
            <w:pPr>
              <w:keepNext w:val="1"/>
              <w:keepLines w:val="1"/>
              <w:spacing w:before="0" w:after="0" w:line="312" w:lineRule="auto"/>
              <w:ind w:left="215" w:right="260"/>
            </w:pPr>
            <w:r>
              <w:rPr>
                <w:rFonts w:ascii="Funnel Display" w:hAnsi="Funnel Display" w:cs="Funnel Display" w:eastAsia="Funnel Display"/>
                <w:b/>
                <w:i w:val="0"/>
                <w:color w:val="35394F"/>
                <w:spacing w:val="8"/>
                <w:sz w:val="16"/>
              </w:rPr>
              <w:t xml:space="preserve">◆ OPTIONALES MODUL  </w:t>
            </w:r>
            <w:r>
              <w:rPr>
                <w:rFonts w:ascii="Inter" w:hAnsi="Inter" w:cs="Inter" w:eastAsia="Inter"/>
                <w:b w:val="0"/>
                <w:i w:val="0"/>
                <w:color w:val="6B7280"/>
                <w:sz w:val="16"/>
              </w:rPr>
              <w:t>SOCIAL MEDIA – behalten bei eigenen Profilen oder eingebundenen Social-Inhalten.</w:t>
            </w:r>
          </w:p>
        </w:tc>
      </w:tr>
    </w:tbl>
    <w:p>
      <w:pPr>
        <w:spacing w:before="0" w:after="0" w:line="120" w:lineRule="exact"/>
      </w:pP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Social-Media-Präsenz</w:t>
      </w:r>
    </w:p>
    <w:p>
      <w:pPr>
        <w:spacing w:before="0" w:after="120" w:line="324" w:lineRule="auto"/>
        <w:ind w:left="260" w:right="260"/>
      </w:pPr>
      <w:r>
        <w:rPr>
          <w:rFonts w:ascii="Inter" w:hAnsi="Inter" w:cs="Inter" w:eastAsia="Inter"/>
          <w:b w:val="0"/>
          <w:i w:val="0"/>
          <w:color w:val="35394F"/>
          <w:sz w:val="20"/>
        </w:rPr>
        <w:t xml:space="preserve">Wir unterhalten Profile auf </w:t>
      </w:r>
      <w:r>
        <w:rPr>
          <w:rFonts w:ascii="Inter" w:hAnsi="Inter" w:cs="Inter" w:eastAsia="Inter"/>
          <w:b/>
          <w:i w:val="0"/>
          <w:color w:val="E34663"/>
          <w:sz w:val="20"/>
        </w:rPr>
        <w:t>[LinkedIn / Instagram / …]</w:t>
      </w:r>
      <w:r>
        <w:rPr>
          <w:rFonts w:ascii="Inter" w:hAnsi="Inter" w:cs="Inter" w:eastAsia="Inter"/>
          <w:b w:val="0"/>
          <w:i w:val="0"/>
          <w:color w:val="35394F"/>
          <w:sz w:val="20"/>
        </w:rPr>
        <w:t xml:space="preserve">. Wenn Sie mit unseren Profilen interagieren, verarbeitet die jeweilige Plattform Ihre personenbezogenen Daten nach ihrer eigenen Datenschutzerklärung und in eigener Verantwortung (ggf. als gemeinsam Verantwortliche). Die Daten, die Sie uns auf diesen Plattformen übermitteln, verarbeiten wir zur Kommunikation mit Ihnen (Art. 6 Abs. 1 lit. f DSGVO). Einzelheiten zur Verarbeitung durch die Plattformen entnehmen Sie deren Datenschutzerklärungen: </w:t>
      </w:r>
      <w:r>
        <w:rPr>
          <w:rFonts w:ascii="Inter" w:hAnsi="Inter" w:cs="Inter" w:eastAsia="Inter"/>
          <w:b/>
          <w:i w:val="0"/>
          <w:color w:val="E34663"/>
          <w:sz w:val="20"/>
        </w:rPr>
        <w:t>[Link je Plattform]</w:t>
      </w:r>
      <w:r>
        <w:rPr>
          <w:rFonts w:ascii="Inter" w:hAnsi="Inter" w:cs="Inter" w:eastAsia="Inter"/>
          <w:b w:val="0"/>
          <w:i w:val="0"/>
          <w:color w:val="35394F"/>
          <w:sz w:val="20"/>
        </w:rPr>
        <w:t>.</w:t>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45"/>
        <w:gridCol w:w="9819"/>
      </w:tblGrid>
      <w:tr>
        <w:trPr>
          <w:cantSplit w:val="1"/>
        </w:trPr>
        <w:tc>
          <w:tcPr>
            <w:tcW w:type="dxa" w:w="45"/>
            <w:shd w:val="clear" w:color="auto" w:fill="35394F"/>
            <w:tcMar>
              <w:top w:w="130" w:type="dxa"/>
              <w:left w:w="0" w:type="dxa"/>
              <w:bottom w:w="130" w:type="dxa"/>
              <w:right w:w="0" w:type="dxa"/>
            </w:tcMar>
          </w:tcPr>
          <w:p/>
        </w:tc>
        <w:tc>
          <w:tcPr>
            <w:tcW w:type="dxa" w:w="9819"/>
            <w:tcBorders>
              <w:top w:val="single" w:sz="4" w:space="0" w:color="E5E7EB"/>
              <w:bottom w:val="single" w:sz="4" w:space="0" w:color="E5E7EB"/>
            </w:tcBorders>
            <w:shd w:val="clear" w:color="auto" w:fill="FFFFFF"/>
            <w:tcMar>
              <w:top w:w="130" w:type="dxa"/>
              <w:left w:w="0" w:type="dxa"/>
              <w:bottom w:w="130" w:type="dxa"/>
              <w:right w:w="0" w:type="dxa"/>
            </w:tcMar>
          </w:tcPr>
          <w:p>
            <w:pPr>
              <w:keepNext w:val="1"/>
              <w:keepLines w:val="1"/>
              <w:spacing w:before="0" w:after="0" w:line="312" w:lineRule="auto"/>
              <w:ind w:left="215" w:right="260"/>
            </w:pPr>
            <w:r>
              <w:rPr>
                <w:rFonts w:ascii="Funnel Display" w:hAnsi="Funnel Display" w:cs="Funnel Display" w:eastAsia="Funnel Display"/>
                <w:b/>
                <w:i w:val="0"/>
                <w:color w:val="35394F"/>
                <w:spacing w:val="8"/>
                <w:sz w:val="16"/>
              </w:rPr>
              <w:t xml:space="preserve">◆ OPTIONALES MODUL  </w:t>
            </w:r>
            <w:r>
              <w:rPr>
                <w:rFonts w:ascii="Inter" w:hAnsi="Inter" w:cs="Inter" w:eastAsia="Inter"/>
                <w:b w:val="0"/>
                <w:i w:val="0"/>
                <w:color w:val="6B7280"/>
                <w:sz w:val="16"/>
              </w:rPr>
              <w:t>BEWERBUNGEN – behalten, wenn Sie Bewerbungen über die Website oder per E-Mail erhalten.</w:t>
            </w:r>
          </w:p>
        </w:tc>
      </w:tr>
    </w:tbl>
    <w:p>
      <w:pPr>
        <w:spacing w:before="0" w:after="0" w:line="120" w:lineRule="exact"/>
      </w:pP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Bewerbungen</w:t>
      </w:r>
    </w:p>
    <w:p>
      <w:pPr>
        <w:spacing w:before="0" w:after="120" w:line="324" w:lineRule="auto"/>
        <w:ind w:left="260" w:right="260"/>
      </w:pPr>
      <w:r>
        <w:rPr>
          <w:rFonts w:ascii="Inter" w:hAnsi="Inter" w:cs="Inter" w:eastAsia="Inter"/>
          <w:b w:val="0"/>
          <w:i w:val="0"/>
          <w:color w:val="35394F"/>
          <w:sz w:val="20"/>
        </w:rPr>
        <w:t xml:space="preserve">Wenn Sie sich bei uns bewerben, verarbeiten wir die in Ihrer Bewerbung enthaltenen personenbezogenen Daten (Lebenslauf, Anschreiben, Zeugnisse und zugehörige Korrespondenz), um Ihre Eignung zu beurteilen und das Bewerbungsverfahren durchzuführen. Rechtsgrundlage ist Art. 6 Abs. 1 lit. b DSGVO i. V. m. § 26 BDSG (Beschäftigungskontext). Im Falle einer Absage löschen wir Ihre Daten innerhalb von </w:t>
      </w:r>
      <w:r>
        <w:rPr>
          <w:rFonts w:ascii="Inter" w:hAnsi="Inter" w:cs="Inter" w:eastAsia="Inter"/>
          <w:b/>
          <w:i w:val="0"/>
          <w:color w:val="E34663"/>
          <w:sz w:val="20"/>
        </w:rPr>
        <w:t>[6]</w:t>
      </w:r>
      <w:r>
        <w:rPr>
          <w:rFonts w:ascii="Inter" w:hAnsi="Inter" w:cs="Inter" w:eastAsia="Inter"/>
          <w:b w:val="0"/>
          <w:i w:val="0"/>
          <w:color w:val="35394F"/>
          <w:sz w:val="20"/>
        </w:rPr>
        <w:t xml:space="preserve"> Monaten, sofern Sie nicht in die Aufnahme in unseren Talent-Pool eingewilligt haben oder eine längere Aufbewahrung gesetzlich vorgeschrieben ist. Besondere Kategorien personenbezogener Daten (Art. 9 DSGVO) verarbeiten wir, sofern freiwillig angegeben, nur im Rahmen des Art. 9 Abs. 2 lit. b DSGVO.</w:t>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45"/>
        <w:gridCol w:w="9819"/>
      </w:tblGrid>
      <w:tr>
        <w:trPr>
          <w:cantSplit w:val="1"/>
        </w:trPr>
        <w:tc>
          <w:tcPr>
            <w:tcW w:type="dxa" w:w="45"/>
            <w:shd w:val="clear" w:color="auto" w:fill="35394F"/>
            <w:tcMar>
              <w:top w:w="130" w:type="dxa"/>
              <w:left w:w="0" w:type="dxa"/>
              <w:bottom w:w="130" w:type="dxa"/>
              <w:right w:w="0" w:type="dxa"/>
            </w:tcMar>
          </w:tcPr>
          <w:p/>
        </w:tc>
        <w:tc>
          <w:tcPr>
            <w:tcW w:type="dxa" w:w="9819"/>
            <w:tcBorders>
              <w:top w:val="single" w:sz="4" w:space="0" w:color="E5E7EB"/>
              <w:bottom w:val="single" w:sz="4" w:space="0" w:color="E5E7EB"/>
            </w:tcBorders>
            <w:shd w:val="clear" w:color="auto" w:fill="FFFFFF"/>
            <w:tcMar>
              <w:top w:w="130" w:type="dxa"/>
              <w:left w:w="0" w:type="dxa"/>
              <w:bottom w:w="130" w:type="dxa"/>
              <w:right w:w="0" w:type="dxa"/>
            </w:tcMar>
          </w:tcPr>
          <w:p>
            <w:pPr>
              <w:keepNext w:val="1"/>
              <w:keepLines w:val="1"/>
              <w:spacing w:before="0" w:after="0" w:line="312" w:lineRule="auto"/>
              <w:ind w:left="215" w:right="260"/>
            </w:pPr>
            <w:r>
              <w:rPr>
                <w:rFonts w:ascii="Funnel Display" w:hAnsi="Funnel Display" w:cs="Funnel Display" w:eastAsia="Funnel Display"/>
                <w:b/>
                <w:i w:val="0"/>
                <w:color w:val="35394F"/>
                <w:spacing w:val="8"/>
                <w:sz w:val="16"/>
              </w:rPr>
              <w:t xml:space="preserve">◆ OPTIONALES MODUL  </w:t>
            </w:r>
            <w:r>
              <w:rPr>
                <w:rFonts w:ascii="Inter" w:hAnsi="Inter" w:cs="Inter" w:eastAsia="Inter"/>
                <w:b w:val="0"/>
                <w:i w:val="0"/>
                <w:color w:val="6B7280"/>
                <w:sz w:val="16"/>
              </w:rPr>
              <w:t>ZAHLUNGSDIENSTLEISTER – behalten, wenn Sie online verkaufen / Zahlungen entgegennehmen.</w:t>
            </w:r>
          </w:p>
        </w:tc>
      </w:tr>
    </w:tbl>
    <w:p>
      <w:pPr>
        <w:spacing w:before="0" w:after="0" w:line="120" w:lineRule="exact"/>
      </w:pP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Zahlungsabwicklung</w:t>
      </w:r>
    </w:p>
    <w:p>
      <w:pPr>
        <w:spacing w:before="0" w:after="120" w:line="324" w:lineRule="auto"/>
        <w:ind w:left="260" w:right="260"/>
      </w:pPr>
      <w:r>
        <w:rPr>
          <w:rFonts w:ascii="Inter" w:hAnsi="Inter" w:cs="Inter" w:eastAsia="Inter"/>
          <w:b w:val="0"/>
          <w:i w:val="0"/>
          <w:color w:val="35394F"/>
          <w:sz w:val="20"/>
        </w:rPr>
        <w:t xml:space="preserve">Für Käufe und kostenpflichtige Leistungen nutzen wir folgende Zahlungsdienstleister: </w:t>
      </w:r>
      <w:r>
        <w:rPr>
          <w:rFonts w:ascii="Inter" w:hAnsi="Inter" w:cs="Inter" w:eastAsia="Inter"/>
          <w:b/>
          <w:i w:val="0"/>
          <w:color w:val="E34663"/>
          <w:sz w:val="20"/>
        </w:rPr>
        <w:t>[Stripe / PayPal / …]</w:t>
      </w:r>
      <w:r>
        <w:rPr>
          <w:rFonts w:ascii="Inter" w:hAnsi="Inter" w:cs="Inter" w:eastAsia="Inter"/>
          <w:b w:val="0"/>
          <w:i w:val="0"/>
          <w:color w:val="35394F"/>
          <w:sz w:val="20"/>
        </w:rPr>
        <w:t>. Wenn Sie eine Zahlungsart wählen, werden die zur Abwicklung erforderlichen Daten (z. B. Name, Zahlungsdaten, Betrag) an den jeweiligen Anbieter übermittelt, der diese in eigener Verantwortung und nach seiner eigenen Datenschutzerklärung verarbeitet. Rechtsgrundlage ist die Vertragserfüllung (Art. 6 Abs. 1 lit. b DSGVO).</w:t>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45"/>
        <w:gridCol w:w="9819"/>
      </w:tblGrid>
      <w:tr>
        <w:trPr>
          <w:cantSplit w:val="1"/>
        </w:trPr>
        <w:tc>
          <w:tcPr>
            <w:tcW w:type="dxa" w:w="45"/>
            <w:shd w:val="clear" w:color="auto" w:fill="35394F"/>
            <w:tcMar>
              <w:top w:w="130" w:type="dxa"/>
              <w:left w:w="0" w:type="dxa"/>
              <w:bottom w:w="130" w:type="dxa"/>
              <w:right w:w="0" w:type="dxa"/>
            </w:tcMar>
          </w:tcPr>
          <w:p/>
        </w:tc>
        <w:tc>
          <w:tcPr>
            <w:tcW w:type="dxa" w:w="9819"/>
            <w:tcBorders>
              <w:top w:val="single" w:sz="4" w:space="0" w:color="E5E7EB"/>
              <w:bottom w:val="single" w:sz="4" w:space="0" w:color="E5E7EB"/>
            </w:tcBorders>
            <w:shd w:val="clear" w:color="auto" w:fill="FFFFFF"/>
            <w:tcMar>
              <w:top w:w="130" w:type="dxa"/>
              <w:left w:w="0" w:type="dxa"/>
              <w:bottom w:w="130" w:type="dxa"/>
              <w:right w:w="0" w:type="dxa"/>
            </w:tcMar>
          </w:tcPr>
          <w:p>
            <w:pPr>
              <w:keepNext w:val="1"/>
              <w:keepLines w:val="1"/>
              <w:spacing w:before="0" w:after="0" w:line="312" w:lineRule="auto"/>
              <w:ind w:left="215" w:right="260"/>
            </w:pPr>
            <w:r>
              <w:rPr>
                <w:rFonts w:ascii="Funnel Display" w:hAnsi="Funnel Display" w:cs="Funnel Display" w:eastAsia="Funnel Display"/>
                <w:b/>
                <w:i w:val="0"/>
                <w:color w:val="35394F"/>
                <w:spacing w:val="8"/>
                <w:sz w:val="16"/>
              </w:rPr>
              <w:t xml:space="preserve">◆ OPTIONALES MODUL  </w:t>
            </w:r>
            <w:r>
              <w:rPr>
                <w:rFonts w:ascii="Inter" w:hAnsi="Inter" w:cs="Inter" w:eastAsia="Inter"/>
                <w:b w:val="0"/>
                <w:i w:val="0"/>
                <w:color w:val="6B7280"/>
                <w:sz w:val="16"/>
              </w:rPr>
              <w:t>AUTOMATISIERTE ENTSCHEIDUNGEN &amp; PROFILING – behalten, wenn ein Tool Personen bewertet, sortiert oder filtert (z. B. Lead Scoring, CV-Screening).</w:t>
            </w:r>
          </w:p>
        </w:tc>
      </w:tr>
    </w:tbl>
    <w:p>
      <w:pPr>
        <w:spacing w:before="0" w:after="0" w:line="120" w:lineRule="exact"/>
      </w:pP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Automatisierte Entscheidungen und Profiling</w:t>
      </w:r>
    </w:p>
    <w:p>
      <w:pPr>
        <w:spacing w:before="0" w:after="120" w:line="324" w:lineRule="auto"/>
        <w:ind w:left="260" w:right="260"/>
      </w:pPr>
      <w:r>
        <w:rPr>
          <w:rFonts w:ascii="Inter" w:hAnsi="Inter" w:cs="Inter" w:eastAsia="Inter"/>
          <w:b w:val="0"/>
          <w:i w:val="0"/>
          <w:color w:val="35394F"/>
          <w:sz w:val="20"/>
        </w:rPr>
        <w:t xml:space="preserve">Wir setzen </w:t>
      </w:r>
      <w:r>
        <w:rPr>
          <w:rFonts w:ascii="Inter" w:hAnsi="Inter" w:cs="Inter" w:eastAsia="Inter"/>
          <w:b/>
          <w:i w:val="0"/>
          <w:color w:val="E34663"/>
          <w:sz w:val="20"/>
        </w:rPr>
        <w:t>[Tool, z. B. das Lead Scoring unseres CRM / unsere Bewerbungs-Screening-Software]</w:t>
      </w:r>
      <w:r>
        <w:rPr>
          <w:rFonts w:ascii="Inter" w:hAnsi="Inter" w:cs="Inter" w:eastAsia="Inter"/>
          <w:b w:val="0"/>
          <w:i w:val="0"/>
          <w:color w:val="35394F"/>
          <w:sz w:val="20"/>
        </w:rPr>
        <w:t xml:space="preserve"> ein, um </w:t>
      </w:r>
      <w:r>
        <w:rPr>
          <w:rFonts w:ascii="Inter" w:hAnsi="Inter" w:cs="Inter" w:eastAsia="Inter"/>
          <w:b/>
          <w:i w:val="0"/>
          <w:color w:val="E34663"/>
          <w:sz w:val="20"/>
        </w:rPr>
        <w:t>[was es tut, z. B. Leads zu bewerten / eingehende Bewerbungen vorzusortieren]</w:t>
      </w:r>
      <w:r>
        <w:rPr>
          <w:rFonts w:ascii="Inter" w:hAnsi="Inter" w:cs="Inter" w:eastAsia="Inter"/>
          <w:b w:val="0"/>
          <w:i w:val="0"/>
          <w:color w:val="35394F"/>
          <w:sz w:val="20"/>
        </w:rPr>
        <w:t xml:space="preserve">. Die involvierte Logik: </w:t>
      </w:r>
      <w:r>
        <w:rPr>
          <w:rFonts w:ascii="Inter" w:hAnsi="Inter" w:cs="Inter" w:eastAsia="Inter"/>
          <w:b/>
          <w:i w:val="0"/>
          <w:color w:val="E34663"/>
          <w:sz w:val="20"/>
        </w:rPr>
        <w:t>[Hauptkriterien in verständlicher Sprache]</w:t>
      </w:r>
      <w:r>
        <w:rPr>
          <w:rFonts w:ascii="Inter" w:hAnsi="Inter" w:cs="Inter" w:eastAsia="Inter"/>
          <w:b w:val="0"/>
          <w:i w:val="0"/>
          <w:color w:val="35394F"/>
          <w:sz w:val="20"/>
        </w:rPr>
        <w:t xml:space="preserve">. Tragweite und Auswirkungen für Sie: </w:t>
      </w:r>
      <w:r>
        <w:rPr>
          <w:rFonts w:ascii="Inter" w:hAnsi="Inter" w:cs="Inter" w:eastAsia="Inter"/>
          <w:b/>
          <w:i w:val="0"/>
          <w:color w:val="E34663"/>
          <w:sz w:val="20"/>
        </w:rPr>
        <w:t>[z. B. beeinflusst die Reihenfolge, in der Bewerbungen geprüft werden]</w:t>
      </w:r>
      <w:r>
        <w:rPr>
          <w:rFonts w:ascii="Inter" w:hAnsi="Inter" w:cs="Inter" w:eastAsia="Inter"/>
          <w:b w:val="0"/>
          <w:i w:val="0"/>
          <w:color w:val="35394F"/>
          <w:sz w:val="20"/>
        </w:rPr>
        <w:t xml:space="preserve">. Wir treffen keine ausschließlich auf automatisierter Verarbeitung beruhenden Entscheidungen, die rechtliche Wirkung entfalten oder Sie ähnlich erheblich beeinträchtigen; ein Mitglied unseres Teams prüft das Ergebnis, bevor eine solche Entscheidung fällt. Nach Art. 22 DSGVO haben Sie das Recht, nicht einer ausschließlich automatisierten Entscheidung unterworfen zu werden, und können menschliches Eingreifen verlangen, Ihren Standpunkt darlegen und die Entscheidung anfechten über </w:t>
      </w:r>
      <w:r>
        <w:rPr>
          <w:rFonts w:ascii="Inter" w:hAnsi="Inter" w:cs="Inter" w:eastAsia="Inter"/>
          <w:b/>
          <w:i w:val="0"/>
          <w:color w:val="E34663"/>
          <w:sz w:val="20"/>
        </w:rPr>
        <w:t>[Kontakt-E-Mail]</w:t>
      </w:r>
      <w:r>
        <w:rPr>
          <w:rFonts w:ascii="Inter" w:hAnsi="Inter" w:cs="Inter" w:eastAsia="Inter"/>
          <w:b w:val="0"/>
          <w:i w:val="0"/>
          <w:color w:val="35394F"/>
          <w:sz w:val="20"/>
        </w:rPr>
        <w:t>.</w:t>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45"/>
        <w:gridCol w:w="9819"/>
      </w:tblGrid>
      <w:tr>
        <w:trPr>
          <w:cantSplit w:val="1"/>
        </w:trPr>
        <w:tc>
          <w:tcPr>
            <w:tcW w:type="dxa" w:w="45"/>
            <w:shd w:val="clear" w:color="auto" w:fill="E34663"/>
            <w:tcMar>
              <w:top w:w="130" w:type="dxa"/>
              <w:left w:w="0" w:type="dxa"/>
              <w:bottom w:w="130" w:type="dxa"/>
              <w:right w:w="0" w:type="dxa"/>
            </w:tcMar>
          </w:tcPr>
          <w:p/>
        </w:tc>
        <w:tc>
          <w:tcPr>
            <w:tcW w:type="dxa" w:w="9819"/>
            <w:shd w:val="clear" w:color="auto" w:fill="FEF6F7"/>
            <w:tcMar>
              <w:top w:w="130" w:type="dxa"/>
              <w:left w:w="0" w:type="dxa"/>
              <w:bottom w:w="130" w:type="dxa"/>
              <w:right w:w="0" w:type="dxa"/>
            </w:tcMar>
          </w:tcPr>
          <w:p>
            <w:pPr>
              <w:spacing w:before="0" w:after="0" w:line="312" w:lineRule="auto"/>
              <w:ind w:left="215" w:right="260"/>
            </w:pPr>
            <w:r>
              <w:rPr>
                <w:rFonts w:ascii="Funnel Display" w:hAnsi="Funnel Display" w:cs="Funnel Display" w:eastAsia="Funnel Display"/>
                <w:b/>
                <w:i w:val="0"/>
                <w:color w:val="E34663"/>
                <w:spacing w:val="8"/>
                <w:sz w:val="16"/>
              </w:rPr>
              <w:t xml:space="preserve">▸ HINWEIS ZUR VERWENDUNG  </w:t>
            </w:r>
            <w:r>
              <w:rPr>
                <w:rFonts w:ascii="Inter" w:hAnsi="Inter" w:cs="Inter" w:eastAsia="Inter"/>
                <w:b w:val="0"/>
                <w:i w:val="0"/>
                <w:color w:val="35394F"/>
                <w:sz w:val="16"/>
              </w:rPr>
              <w:t>Behalten Sie dieses Modul, wenn Sie KI-gestützte oder regelbasierte Tools einsetzen, die Personen bewerten, sortieren oder filtern (Lead Scoring, CV-Screening, Bonitätsprüfung, Chatbot-Triage) - Art. 13 Abs. 2 lit. f DSGVO verlangt die Offenlegung dieser Verarbeitung, aussagekräftige Informationen über die Logik und die Auswirkungen. Entscheidet ein Tool OHNE menschliche Prüfung, holen Sie vor Verwendung dieser Formulierung Rat ein: Art. 22 erlaubt das nur unter engen Voraussetzungen.</w:t>
            </w:r>
          </w:p>
        </w:tc>
      </w:tr>
    </w:tbl>
    <w:p>
      <w:pPr>
        <w:spacing w:before="0" w:after="0" w:line="120" w:lineRule="exact"/>
      </w:pP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45"/>
        <w:gridCol w:w="9819"/>
      </w:tblGrid>
      <w:tr>
        <w:trPr>
          <w:cantSplit w:val="1"/>
        </w:trPr>
        <w:tc>
          <w:tcPr>
            <w:tcW w:type="dxa" w:w="45"/>
            <w:shd w:val="clear" w:color="auto" w:fill="35394F"/>
            <w:tcMar>
              <w:top w:w="130" w:type="dxa"/>
              <w:left w:w="0" w:type="dxa"/>
              <w:bottom w:w="130" w:type="dxa"/>
              <w:right w:w="0" w:type="dxa"/>
            </w:tcMar>
          </w:tcPr>
          <w:p/>
        </w:tc>
        <w:tc>
          <w:tcPr>
            <w:tcW w:type="dxa" w:w="9819"/>
            <w:tcBorders>
              <w:top w:val="single" w:sz="4" w:space="0" w:color="E5E7EB"/>
              <w:bottom w:val="single" w:sz="4" w:space="0" w:color="E5E7EB"/>
            </w:tcBorders>
            <w:shd w:val="clear" w:color="auto" w:fill="FFFFFF"/>
            <w:tcMar>
              <w:top w:w="130" w:type="dxa"/>
              <w:left w:w="0" w:type="dxa"/>
              <w:bottom w:w="130" w:type="dxa"/>
              <w:right w:w="0" w:type="dxa"/>
            </w:tcMar>
          </w:tcPr>
          <w:p>
            <w:pPr>
              <w:keepNext w:val="1"/>
              <w:keepLines w:val="1"/>
              <w:spacing w:before="0" w:after="0" w:line="312" w:lineRule="auto"/>
              <w:ind w:left="215" w:right="260"/>
            </w:pPr>
            <w:r>
              <w:rPr>
                <w:rFonts w:ascii="Funnel Display" w:hAnsi="Funnel Display" w:cs="Funnel Display" w:eastAsia="Funnel Display"/>
                <w:b/>
                <w:i w:val="0"/>
                <w:color w:val="35394F"/>
                <w:spacing w:val="8"/>
                <w:sz w:val="16"/>
              </w:rPr>
              <w:t xml:space="preserve">◆ OPTIONALES MODUL  </w:t>
            </w:r>
            <w:r>
              <w:rPr>
                <w:rFonts w:ascii="Inter" w:hAnsi="Inter" w:cs="Inter" w:eastAsia="Inter"/>
                <w:b w:val="0"/>
                <w:i w:val="0"/>
                <w:color w:val="6B7280"/>
                <w:sz w:val="16"/>
              </w:rPr>
              <w:t>DRITTLANDÜBERMITTLUNGEN – behalten, wenn EIN Auftragsverarbeiter außerhalb der EU/EWR sitzt (z. B. US-Tools).</w:t>
            </w:r>
          </w:p>
        </w:tc>
      </w:tr>
    </w:tbl>
    <w:p>
      <w:pPr>
        <w:spacing w:before="0" w:after="0" w:line="120" w:lineRule="exact"/>
      </w:pP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Übermittlung in Drittländer</w:t>
      </w:r>
    </w:p>
    <w:p>
      <w:pPr>
        <w:spacing w:before="0" w:after="120" w:line="324" w:lineRule="auto"/>
        <w:ind w:left="260" w:right="260"/>
      </w:pPr>
      <w:r>
        <w:rPr>
          <w:rFonts w:ascii="Inter" w:hAnsi="Inter" w:cs="Inter" w:eastAsia="Inter"/>
          <w:b w:val="0"/>
          <w:i w:val="0"/>
          <w:color w:val="35394F"/>
          <w:sz w:val="20"/>
        </w:rPr>
        <w:t xml:space="preserve">Einige der von uns eingesetzten Anbieter verarbeiten Daten außerhalb des Europäischen Wirtschaftsraums (z. B. in den USA: </w:t>
      </w:r>
      <w:r>
        <w:rPr>
          <w:rFonts w:ascii="Inter" w:hAnsi="Inter" w:cs="Inter" w:eastAsia="Inter"/>
          <w:b/>
          <w:i w:val="0"/>
          <w:color w:val="E34663"/>
          <w:sz w:val="20"/>
        </w:rPr>
        <w:t>[Anbieter auflisten]</w:t>
      </w:r>
      <w:r>
        <w:rPr>
          <w:rFonts w:ascii="Inter" w:hAnsi="Inter" w:cs="Inter" w:eastAsia="Inter"/>
          <w:b w:val="0"/>
          <w:i w:val="0"/>
          <w:color w:val="35394F"/>
          <w:sz w:val="20"/>
        </w:rPr>
        <w:t xml:space="preserve">). In diesen Fällen stellen wir ein angemessenes Schutzniveau durch eine der folgenden Garantien sicher: einen Angemessenheitsbeschluss der EU-Kommission oder die EU-Standardvertragsklauseln (Art. 46 Abs. 2 lit. c DSGVO), erforderlichenfalls ergänzt um zusätzliche technische und organisatorische Maßnahmen. Eine Kopie der jeweiligen Garantien können Sie unter </w:t>
      </w:r>
      <w:r>
        <w:rPr>
          <w:rFonts w:ascii="Inter" w:hAnsi="Inter" w:cs="Inter" w:eastAsia="Inter"/>
          <w:b/>
          <w:i w:val="0"/>
          <w:color w:val="E34663"/>
          <w:sz w:val="20"/>
        </w:rPr>
        <w:t>[kontakt@beispiel.de]</w:t>
      </w:r>
      <w:r>
        <w:rPr>
          <w:rFonts w:ascii="Inter" w:hAnsi="Inter" w:cs="Inter" w:eastAsia="Inter"/>
          <w:b w:val="0"/>
          <w:i w:val="0"/>
          <w:color w:val="35394F"/>
          <w:sz w:val="20"/>
        </w:rPr>
        <w:t xml:space="preserve"> anfordern.</w:t>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45"/>
        <w:gridCol w:w="9819"/>
      </w:tblGrid>
      <w:tr>
        <w:trPr>
          <w:cantSplit w:val="1"/>
        </w:trPr>
        <w:tc>
          <w:tcPr>
            <w:tcW w:type="dxa" w:w="45"/>
            <w:shd w:val="clear" w:color="auto" w:fill="E34663"/>
            <w:tcMar>
              <w:top w:w="130" w:type="dxa"/>
              <w:left w:w="0" w:type="dxa"/>
              <w:bottom w:w="130" w:type="dxa"/>
              <w:right w:w="0" w:type="dxa"/>
            </w:tcMar>
          </w:tcPr>
          <w:p/>
        </w:tc>
        <w:tc>
          <w:tcPr>
            <w:tcW w:type="dxa" w:w="9819"/>
            <w:shd w:val="clear" w:color="auto" w:fill="FEF6F7"/>
            <w:tcMar>
              <w:top w:w="130" w:type="dxa"/>
              <w:left w:w="0" w:type="dxa"/>
              <w:bottom w:w="130" w:type="dxa"/>
              <w:right w:w="0" w:type="dxa"/>
            </w:tcMar>
          </w:tcPr>
          <w:p>
            <w:pPr>
              <w:spacing w:before="0" w:after="0" w:line="312" w:lineRule="auto"/>
              <w:ind w:left="215" w:right="260"/>
            </w:pPr>
            <w:r>
              <w:rPr>
                <w:rFonts w:ascii="Funnel Display" w:hAnsi="Funnel Display" w:cs="Funnel Display" w:eastAsia="Funnel Display"/>
                <w:b/>
                <w:i w:val="0"/>
                <w:color w:val="E34663"/>
                <w:spacing w:val="8"/>
                <w:sz w:val="16"/>
              </w:rPr>
              <w:t xml:space="preserve">▸ HINWEIS ZUR VERWENDUNG  </w:t>
            </w:r>
            <w:r>
              <w:rPr>
                <w:rFonts w:ascii="Inter" w:hAnsi="Inter" w:cs="Inter" w:eastAsia="Inter"/>
                <w:b w:val="0"/>
                <w:i w:val="0"/>
                <w:color w:val="35394F"/>
                <w:sz w:val="16"/>
              </w:rPr>
              <w:t>Listen Sie die tatsächlichen Anbieter auf, die Daten außerhalb der EU übermitteln (Google, Microsoft, Salesforce, HubSpot, Zoom, LinkedIn, Stripe usw.) und die jeweils genutzte Garantie. Dies muss mit Ihrem VVT übereinstimmen.</w:t>
            </w:r>
          </w:p>
        </w:tc>
      </w:tr>
    </w:tbl>
    <w:p>
      <w:pPr>
        <w:spacing w:before="0" w:after="0" w:line="120" w:lineRule="exact"/>
      </w:pPr>
    </w:p>
    <w:sectPr w:rsidR="00FC693F" w:rsidRPr="0006063C" w:rsidSect="00034616">
      <w:footerReference w:type="default" r:id="rId11"/>
      <w:pgSz w:w="11906" w:h="16838"/>
      <w:pgMar w:top="794" w:right="1020" w:bottom="850" w:left="1020" w:header="454" w:footer="51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Inter">
    <w:altName w:val="Arial"/>
    <w:embedRegular r:id="rId1" w:fontKey="{E1A28ECF-44FE-484D-8F25-1C8E00AB57D7}"/>
    <w:embedBold r:id="rId2" w:fontKey="{F0D8D5DD-CF56-4F3D-97C1-FB38934C69EA}"/>
  </w:font>
  <w:font w:name="Funnel Display">
    <w:altName w:val="Arial"/>
    <w:embedBold r:id="rId3" w:fontKey="{68CD53EE-CF8A-4666-BE61-4828F82849EB}"/>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0" w:after="0" w:line="20" w:lineRule="exact"/>
    </w:pPr>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9371"/>
      <w:gridCol w:w="493"/>
    </w:tblGrid>
    <w:tr>
      <w:tc>
        <w:tcPr>
          <w:tcW w:type="dxa" w:w="9371"/>
          <w:tcBorders>
            <w:top w:val="single" w:sz="4" w:space="0" w:color="E5E7EB"/>
          </w:tcBorders>
          <w:tcMar>
            <w:top w:w="110" w:type="dxa"/>
            <w:left w:w="0" w:type="dxa"/>
            <w:bottom w:w="0" w:type="dxa"/>
            <w:right w:w="0" w:type="dxa"/>
          </w:tcMar>
        </w:tcPr>
        <w:p>
          <w:pPr>
            <w:spacing w:before="0" w:after="0" w:line="240" w:lineRule="auto"/>
          </w:pPr>
          <w:r>
            <w:rPr>
              <w:rFonts w:ascii="Inter" w:hAnsi="Inter" w:cs="Inter" w:eastAsia="Inter"/>
              <w:b w:val="0"/>
              <w:i w:val="0"/>
              <w:color w:val="6B7280"/>
              <w:sz w:val="14"/>
            </w:rPr>
            <w:t>Datenschutzerklärung – Vorlage · Geprüft von einem zertifizierten Datenschutzbeauftragten (CIPP/E) · Bereitgestellt von ETHYX (</w:t>
          </w:r>
          <w:hyperlink r:id="rId1">
            <w:r>
              <w:rPr>
                <w:rFonts w:ascii="Inter" w:hAnsi="Inter" w:cs="Inter" w:eastAsia="Inter"/>
                <w:b w:val="0"/>
                <w:i w:val="0"/>
                <w:color w:val="6B7280"/>
                <w:sz w:val="14"/>
              </w:rPr>
              <w:t>ethyx.eu</w:t>
            </w:r>
          </w:hyperlink>
          <w:r>
            <w:rPr>
              <w:rFonts w:ascii="Inter" w:hAnsi="Inter" w:cs="Inter" w:eastAsia="Inter"/>
              <w:b w:val="0"/>
              <w:i w:val="0"/>
              <w:color w:val="6B7280"/>
              <w:sz w:val="14"/>
            </w:rPr>
            <w:t>) · Nur zur Orientierung – keine Rechtsberatung</w:t>
          </w:r>
        </w:p>
      </w:tc>
      <w:tc>
        <w:tcPr>
          <w:tcW w:type="dxa" w:w="493"/>
          <w:tcBorders>
            <w:top w:val="single" w:sz="4" w:space="0" w:color="E5E7EB"/>
          </w:tcBorders>
          <w:tcMar>
            <w:top w:w="110" w:type="dxa"/>
            <w:left w:w="0" w:type="dxa"/>
            <w:bottom w:w="0" w:type="dxa"/>
            <w:right w:w="260" w:type="dxa"/>
          </w:tcMar>
        </w:tcPr>
        <w:p>
          <w:pPr>
            <w:spacing w:before="0" w:after="0" w:line="240" w:lineRule="auto"/>
            <w:jc w:val="right"/>
            <w:rPr>
              <w:rFonts w:ascii="Inter" w:hAnsi="Inter" w:cs="Inter" w:eastAsia="Inter"/>
              <w:b w:val="0"/>
              <w:i w:val="0"/>
              <w:color w:val="6B7280"/>
              <w:sz w:val="14"/>
            </w:rPr>
          </w:pPr>
          <w:r>
            <w:rPr>
              <w:rFonts w:ascii="Inter" w:hAnsi="Inter" w:cs="Inter" w:eastAsia="Inter"/>
              <w:b w:val="0"/>
              <w:i w:val="0"/>
              <w:color w:val="6B7280"/>
              <w:sz w:val="14"/>
            </w:rPr>
            <w:fldChar w:fldCharType="begin"/>
          </w:r>
          <w:r>
            <w:rPr>
              <w:rFonts w:ascii="Inter" w:hAnsi="Inter" w:cs="Inter" w:eastAsia="Inter"/>
              <w:b w:val="0"/>
              <w:i w:val="0"/>
              <w:color w:val="6B7280"/>
              <w:sz w:val="14"/>
            </w:rPr>
            <w:instrText xml:space="preserve"> PAGE </w:instrText>
          </w:r>
          <w:r>
            <w:rPr>
              <w:rFonts w:ascii="Inter" w:hAnsi="Inter" w:cs="Inter" w:eastAsia="Inter"/>
              <w:b w:val="0"/>
              <w:i w:val="0"/>
              <w:color w:val="6B7280"/>
              <w:sz w:val="14"/>
            </w:rPr>
            <w:fldChar w:fldCharType="separate"/>
          </w:r>
          <w:r>
            <w:rPr>
              <w:rFonts w:ascii="Inter" w:hAnsi="Inter" w:cs="Inter" w:eastAsia="Inter"/>
              <w:b w:val="0"/>
              <w:i w:val="0"/>
              <w:color w:val="6B7280"/>
              <w:sz w:val="14"/>
            </w:rPr>
            <w:t/>
          </w:r>
          <w:r>
            <w:rPr>
              <w:rFonts w:ascii="Inter" w:hAnsi="Inter" w:cs="Inter" w:eastAsia="Inter"/>
              <w:b w:val="0"/>
              <w:i w:val="0"/>
              <w:color w:val="6B7280"/>
              <w:sz w:val="14"/>
            </w:rPr>
            <w:fldChar w:fldCharType="end"/>
          </w:r>
        </w:p>
      </w:tc>
    </w:tr>
  </w:tbl>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embedTrueTypeFonts w:val="true"/>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0" w:line="300" w:lineRule="auto"/>
    </w:pPr>
    <w:rPr>
      <w:rFonts w:ascii="Inter" w:hAnsi="Inter" w:cs="Inter" w:eastAsia="Inter"/>
      <w:color w:val="35394F"/>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ethyx.eu/?utm_source=gated-asset&amp;utm_medium=document&amp;utm_campaign=datenschutzerklaerung-vorlage-de" TargetMode="External"/><Relationship Id="rId11"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font1.fntdata"/><Relationship Id="rId2" Type="http://schemas.openxmlformats.org/officeDocument/2006/relationships/font" Target="fonts/font2.fntdata"/><Relationship Id="rId3" Type="http://schemas.openxmlformats.org/officeDocument/2006/relationships/font" Target="fonts/font3.fntdata"/></Relationships>
</file>

<file path=word/_rels/footer1.xml.rels><?xml version='1.0' encoding='UTF-8' standalone='yes'?>
<Relationships xmlns="http://schemas.openxmlformats.org/package/2006/relationships"><Relationship Id="rId1" Type="http://schemas.openxmlformats.org/officeDocument/2006/relationships/hyperlink" Target="https://ethyx.eu/?utm_source=gated-asset&amp;utm_medium=document&amp;utm_campaign=datenschutzerklaerung-vorlage-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Datenschutzerklärung – Vorlage</dc:title>
  <dc:subject/>
  <dc:creator>ETHYX</dc:creator>
  <cp:keywords/>
  <dc:description>Rechtlich geprüft von einem zertifizierten Datenschutzbeauftragten (CIPP/E) · Bereitgestellt von ETHYX · Version 1.1 · Juli 2026</dc:description>
  <cp:lastModifiedBy/>
  <cp:revision>1</cp:revision>
  <dcterms:created xsi:type="dcterms:W3CDTF">2013-12-23T23:15:00Z</dcterms:created>
  <dcterms:modified xsi:type="dcterms:W3CDTF">2013-12-23T23:15:00Z</dcterms:modified>
  <cp:category/>
</cp:coreProperties>
</file>